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0E0" w14:textId="77777777" w:rsidR="001959F5" w:rsidRPr="001959F5" w:rsidRDefault="001959F5" w:rsidP="001959F5">
      <w:pPr>
        <w:jc w:val="center"/>
        <w:rPr>
          <w:b/>
          <w:bCs/>
        </w:rPr>
      </w:pPr>
      <w:r w:rsidRPr="001959F5">
        <w:rPr>
          <w:b/>
          <w:bCs/>
        </w:rPr>
        <w:t>PROJEKT</w:t>
      </w:r>
    </w:p>
    <w:p w14:paraId="59766811" w14:textId="77777777" w:rsidR="001959F5" w:rsidRPr="001959F5" w:rsidRDefault="001959F5" w:rsidP="001959F5">
      <w:pPr>
        <w:jc w:val="center"/>
        <w:rPr>
          <w:b/>
          <w:bCs/>
        </w:rPr>
      </w:pPr>
      <w:r w:rsidRPr="001959F5">
        <w:rPr>
          <w:b/>
          <w:bCs/>
        </w:rPr>
        <w:t>USTAWA</w:t>
      </w:r>
    </w:p>
    <w:p w14:paraId="2E833416" w14:textId="66614D5B" w:rsidR="001959F5" w:rsidRPr="001959F5" w:rsidRDefault="001959F5" w:rsidP="001959F5">
      <w:pPr>
        <w:jc w:val="center"/>
      </w:pPr>
      <w:r w:rsidRPr="001959F5">
        <w:t>z dnia .................... 202</w:t>
      </w:r>
      <w:r w:rsidR="000A24EC">
        <w:t>5</w:t>
      </w:r>
      <w:r w:rsidRPr="001959F5">
        <w:t xml:space="preserve"> r.</w:t>
      </w:r>
    </w:p>
    <w:p w14:paraId="7A71F6A5" w14:textId="77777777" w:rsidR="001959F5" w:rsidRPr="001959F5" w:rsidRDefault="001959F5" w:rsidP="001959F5">
      <w:pPr>
        <w:jc w:val="center"/>
      </w:pPr>
      <w:r w:rsidRPr="001959F5">
        <w:t>o zmianie ustawy o dostępie do informacji publicznej</w:t>
      </w:r>
    </w:p>
    <w:p w14:paraId="0110232A" w14:textId="77777777" w:rsidR="001959F5" w:rsidRPr="001959F5" w:rsidRDefault="00000000" w:rsidP="001959F5">
      <w:r>
        <w:pict w14:anchorId="7D674664">
          <v:rect id="_x0000_i1025" style="width:0;height:1.5pt" o:hralign="center" o:hrstd="t" o:hr="t" fillcolor="#a0a0a0" stroked="f"/>
        </w:pict>
      </w:r>
    </w:p>
    <w:p w14:paraId="6321A240" w14:textId="77777777" w:rsidR="001959F5" w:rsidRPr="001959F5" w:rsidRDefault="001959F5" w:rsidP="001959F5">
      <w:r w:rsidRPr="001959F5">
        <w:rPr>
          <w:b/>
          <w:bCs/>
        </w:rPr>
        <w:t>Art. 1.</w:t>
      </w:r>
      <w:r w:rsidRPr="001959F5">
        <w:t xml:space="preserve"> W ustawie z dnia 6 września 2001 r. o dostępie do informacji publicznej (Dz. U. z 2022 r. poz. 902) wprowadza się następujące zmiany:</w:t>
      </w:r>
    </w:p>
    <w:p w14:paraId="1C5A6099" w14:textId="77777777" w:rsidR="001959F5" w:rsidRPr="001959F5" w:rsidRDefault="001959F5" w:rsidP="001959F5">
      <w:r w:rsidRPr="001959F5">
        <w:rPr>
          <w:b/>
          <w:bCs/>
        </w:rPr>
        <w:t>1)</w:t>
      </w:r>
      <w:r w:rsidRPr="001959F5">
        <w:t xml:space="preserve"> w art. 13:</w:t>
      </w:r>
    </w:p>
    <w:p w14:paraId="52388960" w14:textId="77777777" w:rsidR="001959F5" w:rsidRPr="001959F5" w:rsidRDefault="001959F5" w:rsidP="001959F5">
      <w:r w:rsidRPr="001959F5">
        <w:t>a) ust. 1 otrzymuje brzmienie:</w:t>
      </w:r>
    </w:p>
    <w:p w14:paraId="5DFAFFC4" w14:textId="77777777" w:rsidR="001959F5" w:rsidRPr="001959F5" w:rsidRDefault="001959F5" w:rsidP="001959F5">
      <w:r w:rsidRPr="001959F5">
        <w:t xml:space="preserve">„1. Udostępnianie informacji publicznej na wniosek następuje bez zbędnej zwłoki, nie później jednak niż w terminie </w:t>
      </w:r>
      <w:r w:rsidRPr="001959F5">
        <w:rPr>
          <w:b/>
          <w:bCs/>
        </w:rPr>
        <w:t>7 dni roboczych</w:t>
      </w:r>
      <w:r w:rsidRPr="001959F5">
        <w:t xml:space="preserve"> od dnia złożenia wniosku, z zastrzeżeniem ust. 2 i art. 15 ust. 2.",</w:t>
      </w:r>
    </w:p>
    <w:p w14:paraId="0132DE85" w14:textId="77777777" w:rsidR="001959F5" w:rsidRPr="001959F5" w:rsidRDefault="001959F5" w:rsidP="001959F5">
      <w:r w:rsidRPr="001959F5">
        <w:t>b) ust. 2 otrzymuje brzmienie:</w:t>
      </w:r>
    </w:p>
    <w:p w14:paraId="178F3F67" w14:textId="77777777" w:rsidR="001959F5" w:rsidRPr="001959F5" w:rsidRDefault="001959F5" w:rsidP="001959F5">
      <w:r w:rsidRPr="001959F5">
        <w:t xml:space="preserve">„2. Jeżeli informacja publiczna nie może być udostępniona w terminie określonym w ust. 1, podmiot obowiązany do jej udostępnienia powiadamia w tym terminie o powodach opóźnienia oraz o terminie, w jakim udostępni informację, nie dłuższym jednak niż </w:t>
      </w:r>
      <w:r w:rsidRPr="001959F5">
        <w:rPr>
          <w:b/>
          <w:bCs/>
        </w:rPr>
        <w:t>30 dni</w:t>
      </w:r>
      <w:r w:rsidRPr="001959F5">
        <w:t xml:space="preserve"> od dnia złożenia wniosku.",</w:t>
      </w:r>
    </w:p>
    <w:p w14:paraId="6D8016E7" w14:textId="77777777" w:rsidR="001959F5" w:rsidRPr="001959F5" w:rsidRDefault="001959F5" w:rsidP="001959F5">
      <w:r w:rsidRPr="001959F5">
        <w:t>c) po ust. 2 dodaje się ust. 2a–2d w brzmieniu:</w:t>
      </w:r>
    </w:p>
    <w:p w14:paraId="65FB8201" w14:textId="77777777" w:rsidR="001959F5" w:rsidRPr="001959F5" w:rsidRDefault="001959F5" w:rsidP="001959F5">
      <w:r w:rsidRPr="001959F5">
        <w:t>„2a. Powiadomienie o przedłużeniu terminu musi zawierać szczegółowe uzasadnienie wskazujące konkretne czynności, jakie podmiot musi wykonać dla udostępnienia informacji.</w:t>
      </w:r>
    </w:p>
    <w:p w14:paraId="7CB7601D" w14:textId="77777777" w:rsidR="001959F5" w:rsidRPr="001959F5" w:rsidRDefault="001959F5" w:rsidP="001959F5">
      <w:r w:rsidRPr="001959F5">
        <w:t>2b. W przypadku nieudostępnienia informacji publicznej w terminie określonym w ust. 1 albo 2, wnioskodawcy przysługuje prawo do rekompensaty w wysokości 100 zł za każdy dzień roboczy zwłoki, nie więcej jednak niż 5.000 zł łącznie.</w:t>
      </w:r>
    </w:p>
    <w:p w14:paraId="21EF2D20" w14:textId="77777777" w:rsidR="001959F5" w:rsidRPr="001959F5" w:rsidRDefault="001959F5" w:rsidP="001959F5">
      <w:r w:rsidRPr="001959F5">
        <w:t>2c. Rekompensata, o której mowa w ust. 2b, wypłacana jest na pisemny wniosek złożony do podmiotu obowiązanego w terminie 30 dni od dnia udostępnienia informacji albo wydania decyzji o odmowie.</w:t>
      </w:r>
    </w:p>
    <w:p w14:paraId="6FA2F060" w14:textId="77777777" w:rsidR="001959F5" w:rsidRPr="001959F5" w:rsidRDefault="001959F5" w:rsidP="001959F5">
      <w:r w:rsidRPr="001959F5">
        <w:t>2d. W przypadku nieudostępnienia informacji w terminie określonym w ust. 1 albo 2, podmiot obowiązany traci prawo do pobierania opłaty, o której mowa w art. 15.";</w:t>
      </w:r>
    </w:p>
    <w:p w14:paraId="58EC8537" w14:textId="77777777" w:rsidR="001959F5" w:rsidRPr="001959F5" w:rsidRDefault="001959F5" w:rsidP="001959F5">
      <w:r w:rsidRPr="001959F5">
        <w:rPr>
          <w:b/>
          <w:bCs/>
        </w:rPr>
        <w:t>2)</w:t>
      </w:r>
      <w:r w:rsidRPr="001959F5">
        <w:t xml:space="preserve"> po art. 14 dodaje się art. 14a w brzmieniu:</w:t>
      </w:r>
    </w:p>
    <w:p w14:paraId="04BF7004" w14:textId="77777777" w:rsidR="001959F5" w:rsidRPr="001959F5" w:rsidRDefault="001959F5" w:rsidP="001959F5">
      <w:r w:rsidRPr="001959F5">
        <w:t>„Art. 14a. 1. Udostępniona informacja publiczna musi odnosić się do wszystkich elementów wniosku. W przypadku gdy wniosek zawiera kilka pytań lub żądań, odpowiedź musi odnosić się do każdego z nich osobno.</w:t>
      </w:r>
    </w:p>
    <w:p w14:paraId="3F39058C" w14:textId="77777777" w:rsidR="001959F5" w:rsidRPr="001959F5" w:rsidRDefault="001959F5" w:rsidP="001959F5">
      <w:pPr>
        <w:numPr>
          <w:ilvl w:val="0"/>
          <w:numId w:val="1"/>
        </w:numPr>
      </w:pPr>
      <w:r w:rsidRPr="001959F5">
        <w:lastRenderedPageBreak/>
        <w:t>Podmiot obowiązany nie może udzielić odpowiedzi ogólnej lub odsyłającej do publicznie dostępnych źródeł bez wskazania konkretnych dokumentów i miejsc, gdzie żądana informacja się znajduje.</w:t>
      </w:r>
    </w:p>
    <w:p w14:paraId="09969944" w14:textId="77777777" w:rsidR="001959F5" w:rsidRPr="001959F5" w:rsidRDefault="001959F5" w:rsidP="001959F5">
      <w:pPr>
        <w:numPr>
          <w:ilvl w:val="0"/>
          <w:numId w:val="1"/>
        </w:numPr>
      </w:pPr>
      <w:r w:rsidRPr="001959F5">
        <w:t>W przypadku udzielenia odpowiedzi niepełnej, wymijającej lub nieodnoszącej się do wszystkich elementów wniosku, wnioskodawca może wnieść skargę bezpośrednio do sądu administracyjnego, bez konieczności wyczerpania trybu odwoławczego.";</w:t>
      </w:r>
    </w:p>
    <w:p w14:paraId="71826B2A" w14:textId="77777777" w:rsidR="001959F5" w:rsidRPr="001959F5" w:rsidRDefault="001959F5" w:rsidP="001959F5">
      <w:r w:rsidRPr="001959F5">
        <w:rPr>
          <w:b/>
          <w:bCs/>
        </w:rPr>
        <w:t>3)</w:t>
      </w:r>
      <w:r w:rsidRPr="001959F5">
        <w:t xml:space="preserve"> w art. 15:</w:t>
      </w:r>
    </w:p>
    <w:p w14:paraId="33562391" w14:textId="77777777" w:rsidR="001959F5" w:rsidRPr="001959F5" w:rsidRDefault="001959F5" w:rsidP="001959F5">
      <w:r w:rsidRPr="001959F5">
        <w:t>a) po ust. 2 dodaje się ust. 2a w brzmieniu:</w:t>
      </w:r>
    </w:p>
    <w:p w14:paraId="0A9F4E84" w14:textId="77777777" w:rsidR="001959F5" w:rsidRPr="001959F5" w:rsidRDefault="001959F5" w:rsidP="001959F5">
      <w:r w:rsidRPr="001959F5">
        <w:t>„2a. Wysokość opłaty nie może przekroczyć 0,50 zł za stronę kopii formatu A4. Minister właściwy do spraw informatyzacji określi, w drodze rozporządzenia, maksymalne stawki opłat za udostępnienie informacji w innych formach, mając na względzie rzeczywiste koszty udostępnienia.";</w:t>
      </w:r>
    </w:p>
    <w:p w14:paraId="1C93D374" w14:textId="77777777" w:rsidR="001959F5" w:rsidRPr="001959F5" w:rsidRDefault="001959F5" w:rsidP="001959F5">
      <w:r w:rsidRPr="001959F5">
        <w:rPr>
          <w:b/>
          <w:bCs/>
        </w:rPr>
        <w:t>4)</w:t>
      </w:r>
      <w:r w:rsidRPr="001959F5">
        <w:t xml:space="preserve"> w art. 16:</w:t>
      </w:r>
    </w:p>
    <w:p w14:paraId="6E23D723" w14:textId="77777777" w:rsidR="001959F5" w:rsidRPr="001959F5" w:rsidRDefault="001959F5" w:rsidP="001959F5">
      <w:r w:rsidRPr="001959F5">
        <w:t>a) w ust. 2 pkt 1 otrzymuje brzmienie:</w:t>
      </w:r>
    </w:p>
    <w:p w14:paraId="70015D49" w14:textId="77777777" w:rsidR="001959F5" w:rsidRPr="001959F5" w:rsidRDefault="001959F5" w:rsidP="001959F5">
      <w:r w:rsidRPr="001959F5">
        <w:t xml:space="preserve">„1) odwołanie od decyzji rozpoznaje się w terminie </w:t>
      </w:r>
      <w:r w:rsidRPr="001959F5">
        <w:rPr>
          <w:b/>
          <w:bCs/>
        </w:rPr>
        <w:t>7 dni</w:t>
      </w:r>
      <w:r w:rsidRPr="001959F5">
        <w:t>;",</w:t>
      </w:r>
    </w:p>
    <w:p w14:paraId="7F64B838" w14:textId="77777777" w:rsidR="001959F5" w:rsidRPr="001959F5" w:rsidRDefault="001959F5" w:rsidP="001959F5">
      <w:r w:rsidRPr="001959F5">
        <w:t>b) po ust. 2 dodaje się ust. 3 w brzmieniu:</w:t>
      </w:r>
    </w:p>
    <w:p w14:paraId="55FC428A" w14:textId="77777777" w:rsidR="001959F5" w:rsidRPr="001959F5" w:rsidRDefault="001959F5" w:rsidP="001959F5">
      <w:r w:rsidRPr="001959F5">
        <w:t>„3. Bezczynność organu w zakresie udostępnienia informacji publicznej może być przedmiotem skargi do sądu administracyjnego po upływie terminów określonych w art. 13, bez konieczności wzywania do usunięcia naruszenia prawa.";</w:t>
      </w:r>
    </w:p>
    <w:p w14:paraId="49918E43" w14:textId="77777777" w:rsidR="001959F5" w:rsidRPr="001959F5" w:rsidRDefault="001959F5" w:rsidP="001959F5">
      <w:r w:rsidRPr="001959F5">
        <w:rPr>
          <w:b/>
          <w:bCs/>
        </w:rPr>
        <w:t>5)</w:t>
      </w:r>
      <w:r w:rsidRPr="001959F5">
        <w:t xml:space="preserve"> w art. 21:</w:t>
      </w:r>
    </w:p>
    <w:p w14:paraId="700B69EB" w14:textId="77777777" w:rsidR="001959F5" w:rsidRPr="001959F5" w:rsidRDefault="001959F5" w:rsidP="001959F5">
      <w:r w:rsidRPr="001959F5">
        <w:t>a) pkt 2 otrzymuje brzmienie:</w:t>
      </w:r>
    </w:p>
    <w:p w14:paraId="00EB4473" w14:textId="77777777" w:rsidR="001959F5" w:rsidRPr="001959F5" w:rsidRDefault="001959F5" w:rsidP="001959F5">
      <w:r w:rsidRPr="001959F5">
        <w:t xml:space="preserve">„2) skargę rozpatruje się w terminie </w:t>
      </w:r>
      <w:r w:rsidRPr="001959F5">
        <w:rPr>
          <w:b/>
          <w:bCs/>
        </w:rPr>
        <w:t>14 dni</w:t>
      </w:r>
      <w:r w:rsidRPr="001959F5">
        <w:t xml:space="preserve"> od dnia otrzymania akt wraz z odpowiedzią na skargę.";</w:t>
      </w:r>
    </w:p>
    <w:p w14:paraId="5CADAECA" w14:textId="77777777" w:rsidR="001959F5" w:rsidRPr="001959F5" w:rsidRDefault="001959F5" w:rsidP="001959F5">
      <w:r w:rsidRPr="001959F5">
        <w:rPr>
          <w:b/>
          <w:bCs/>
        </w:rPr>
        <w:t>6)</w:t>
      </w:r>
      <w:r w:rsidRPr="001959F5">
        <w:t xml:space="preserve"> art. 23 otrzymuje brzmienie:</w:t>
      </w:r>
    </w:p>
    <w:p w14:paraId="0E177260" w14:textId="77777777" w:rsidR="001959F5" w:rsidRPr="001959F5" w:rsidRDefault="001959F5" w:rsidP="001959F5">
      <w:r w:rsidRPr="001959F5">
        <w:t>„Art. 23. 1. Kto, wbrew ciążącemu na nim obowiązkowi, nie udostępnia informacji publicznej w terminie, podlega karze grzywny w wysokości od 1.000 zł do 20.000 zł.</w:t>
      </w:r>
    </w:p>
    <w:p w14:paraId="348B7689" w14:textId="77777777" w:rsidR="001959F5" w:rsidRPr="001959F5" w:rsidRDefault="001959F5" w:rsidP="001959F5">
      <w:pPr>
        <w:numPr>
          <w:ilvl w:val="0"/>
          <w:numId w:val="2"/>
        </w:numPr>
      </w:pPr>
      <w:r w:rsidRPr="001959F5">
        <w:t>Kto udziela odpowiedzi wymijającej lub wprowadzającej w błąd na wniosek o udostępnienie informacji publicznej, podlega karze grzywny w wysokości od 2.000 zł do 30.000 zł.</w:t>
      </w:r>
    </w:p>
    <w:p w14:paraId="654F3F4F" w14:textId="77777777" w:rsidR="001959F5" w:rsidRPr="001959F5" w:rsidRDefault="001959F5" w:rsidP="001959F5">
      <w:pPr>
        <w:numPr>
          <w:ilvl w:val="0"/>
          <w:numId w:val="2"/>
        </w:numPr>
      </w:pPr>
      <w:r w:rsidRPr="001959F5">
        <w:t>Funkcjonariusz publiczny, który dopuszcza się czynu określonego w ust. 1 lub 2 po raz drugi w okresie 12 miesięcy, podlega karze ograniczenia wolności albo pozbawienia wolności do lat 2.</w:t>
      </w:r>
    </w:p>
    <w:p w14:paraId="2C3C95DD" w14:textId="77777777" w:rsidR="001959F5" w:rsidRPr="001959F5" w:rsidRDefault="001959F5" w:rsidP="001959F5">
      <w:pPr>
        <w:numPr>
          <w:ilvl w:val="0"/>
          <w:numId w:val="2"/>
        </w:numPr>
      </w:pPr>
      <w:r w:rsidRPr="001959F5">
        <w:lastRenderedPageBreak/>
        <w:t>Orzekanie w sprawach o czyny, o których mowa w ust. 1 i 2, następuje w trybie przepisów o postępowaniu w sprawach o wykroczenia.";</w:t>
      </w:r>
    </w:p>
    <w:p w14:paraId="2B4E02CC" w14:textId="77777777" w:rsidR="001959F5" w:rsidRPr="001959F5" w:rsidRDefault="001959F5" w:rsidP="001959F5">
      <w:r w:rsidRPr="001959F5">
        <w:rPr>
          <w:b/>
          <w:bCs/>
        </w:rPr>
        <w:t>7)</w:t>
      </w:r>
      <w:r w:rsidRPr="001959F5">
        <w:t xml:space="preserve"> po art. 23 dodaje się art. 23a–23c w brzmieniu:</w:t>
      </w:r>
    </w:p>
    <w:p w14:paraId="6ACE18D5" w14:textId="77777777" w:rsidR="001959F5" w:rsidRPr="001959F5" w:rsidRDefault="001959F5" w:rsidP="001959F5">
      <w:r w:rsidRPr="001959F5">
        <w:t>„Art. 23a. 1. Podmioty obowiązane do udostępniania informacji publicznej prowadzą rejestr wniosków o udostępnienie informacji publicznej.</w:t>
      </w:r>
    </w:p>
    <w:p w14:paraId="7F9BA394" w14:textId="77777777" w:rsidR="001959F5" w:rsidRPr="001959F5" w:rsidRDefault="001959F5" w:rsidP="001959F5">
      <w:pPr>
        <w:numPr>
          <w:ilvl w:val="0"/>
          <w:numId w:val="3"/>
        </w:numPr>
      </w:pPr>
      <w:r w:rsidRPr="001959F5">
        <w:t>Rejestr zawiera:</w:t>
      </w:r>
    </w:p>
    <w:p w14:paraId="10DF5CE1" w14:textId="77777777" w:rsidR="001959F5" w:rsidRPr="001959F5" w:rsidRDefault="001959F5" w:rsidP="001959F5">
      <w:pPr>
        <w:numPr>
          <w:ilvl w:val="0"/>
          <w:numId w:val="4"/>
        </w:numPr>
      </w:pPr>
      <w:r w:rsidRPr="001959F5">
        <w:t>datę wpływu wniosku;</w:t>
      </w:r>
    </w:p>
    <w:p w14:paraId="63FADDCE" w14:textId="77777777" w:rsidR="001959F5" w:rsidRPr="001959F5" w:rsidRDefault="001959F5" w:rsidP="001959F5">
      <w:pPr>
        <w:numPr>
          <w:ilvl w:val="0"/>
          <w:numId w:val="4"/>
        </w:numPr>
      </w:pPr>
      <w:r w:rsidRPr="001959F5">
        <w:t>przedmiot wniosku;</w:t>
      </w:r>
    </w:p>
    <w:p w14:paraId="2A1C1F46" w14:textId="77777777" w:rsidR="001959F5" w:rsidRPr="001959F5" w:rsidRDefault="001959F5" w:rsidP="001959F5">
      <w:pPr>
        <w:numPr>
          <w:ilvl w:val="0"/>
          <w:numId w:val="4"/>
        </w:numPr>
      </w:pPr>
      <w:r w:rsidRPr="001959F5">
        <w:t>datę udzielenia odpowiedzi albo wydania decyzji;</w:t>
      </w:r>
    </w:p>
    <w:p w14:paraId="13E88870" w14:textId="77777777" w:rsidR="001959F5" w:rsidRPr="001959F5" w:rsidRDefault="001959F5" w:rsidP="001959F5">
      <w:pPr>
        <w:numPr>
          <w:ilvl w:val="0"/>
          <w:numId w:val="4"/>
        </w:numPr>
      </w:pPr>
      <w:r w:rsidRPr="001959F5">
        <w:t>informację o sposobie załatwienia sprawy.</w:t>
      </w:r>
    </w:p>
    <w:p w14:paraId="5AC6F984" w14:textId="77777777" w:rsidR="001959F5" w:rsidRPr="001959F5" w:rsidRDefault="001959F5" w:rsidP="001959F5">
      <w:pPr>
        <w:numPr>
          <w:ilvl w:val="0"/>
          <w:numId w:val="5"/>
        </w:numPr>
      </w:pPr>
      <w:r w:rsidRPr="001959F5">
        <w:t>Rejestr jest jawny i publikowany w Biuletynie Informacji Publicznej w terminie do 10 dnia każdego miesiąca za miesiąc poprzedni.</w:t>
      </w:r>
    </w:p>
    <w:p w14:paraId="1E5F2C13" w14:textId="77777777" w:rsidR="001959F5" w:rsidRPr="001959F5" w:rsidRDefault="001959F5" w:rsidP="001959F5">
      <w:r w:rsidRPr="001959F5">
        <w:t>Art. 23b. 1. Podmioty obowiązane publikują w Biuletynie Informacji Publicznej kwartalne sprawozdanie zawierające:</w:t>
      </w:r>
    </w:p>
    <w:p w14:paraId="442A96B1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liczbę złożonych wniosków o udostępnienie informacji publicznej;</w:t>
      </w:r>
    </w:p>
    <w:p w14:paraId="30E3CA36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średni czas udzielenia odpowiedzi;</w:t>
      </w:r>
    </w:p>
    <w:p w14:paraId="2DD13F27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liczbę przypadków przedłużenia terminu;</w:t>
      </w:r>
    </w:p>
    <w:p w14:paraId="4F708439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liczbę wydanych decyzji odmownych;</w:t>
      </w:r>
    </w:p>
    <w:p w14:paraId="2A8D5C5E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liczbę skarg uwzględnionych przez sądy administracyjne;</w:t>
      </w:r>
    </w:p>
    <w:p w14:paraId="0C1D5DF0" w14:textId="77777777" w:rsidR="001959F5" w:rsidRPr="001959F5" w:rsidRDefault="001959F5" w:rsidP="001959F5">
      <w:pPr>
        <w:numPr>
          <w:ilvl w:val="0"/>
          <w:numId w:val="6"/>
        </w:numPr>
      </w:pPr>
      <w:r w:rsidRPr="001959F5">
        <w:t>kwotę wypłaconych rekompensat, o których mowa w art. 13 ust. 2b.</w:t>
      </w:r>
    </w:p>
    <w:p w14:paraId="5DA98738" w14:textId="77777777" w:rsidR="001959F5" w:rsidRPr="001959F5" w:rsidRDefault="001959F5" w:rsidP="001959F5">
      <w:pPr>
        <w:numPr>
          <w:ilvl w:val="0"/>
          <w:numId w:val="7"/>
        </w:numPr>
      </w:pPr>
      <w:r w:rsidRPr="001959F5">
        <w:t>Sprawozdanie publikuje się w terminie 14 dni po zakończeniu kwartału.</w:t>
      </w:r>
    </w:p>
    <w:p w14:paraId="4BB550AD" w14:textId="77777777" w:rsidR="001959F5" w:rsidRPr="001959F5" w:rsidRDefault="001959F5" w:rsidP="001959F5">
      <w:r w:rsidRPr="001959F5">
        <w:t>Art. 23c. W przypadku gdy podmiot obowiązany w okresie roku kalendarzowego:</w:t>
      </w:r>
    </w:p>
    <w:p w14:paraId="05E4D4D1" w14:textId="77777777" w:rsidR="001959F5" w:rsidRPr="001959F5" w:rsidRDefault="001959F5" w:rsidP="001959F5">
      <w:pPr>
        <w:numPr>
          <w:ilvl w:val="0"/>
          <w:numId w:val="8"/>
        </w:numPr>
      </w:pPr>
      <w:r w:rsidRPr="001959F5">
        <w:t>przekroczy termin odpowiedzi w więcej niż 20% spraw lub</w:t>
      </w:r>
    </w:p>
    <w:p w14:paraId="36C512D8" w14:textId="77777777" w:rsidR="001959F5" w:rsidRPr="001959F5" w:rsidRDefault="001959F5" w:rsidP="001959F5">
      <w:pPr>
        <w:numPr>
          <w:ilvl w:val="0"/>
          <w:numId w:val="8"/>
        </w:numPr>
      </w:pPr>
      <w:r w:rsidRPr="001959F5">
        <w:t>otrzyma więcej niż 5 prawomocnych wyroków sądów administracyjnych stwierdzających naruszenie przepisów ustawy – kierownik podmiotu oraz osoby odpowiedzialne za udostępnianie informacji publicznej podlegają obowiązkowemu szkoleniu z zakresu dostępu do informacji publicznej, organizowanemu przez Naczelny Sąd Administracyjny.";</w:t>
      </w:r>
    </w:p>
    <w:p w14:paraId="4170B5CC" w14:textId="77777777" w:rsidR="001959F5" w:rsidRPr="001959F5" w:rsidRDefault="001959F5" w:rsidP="001959F5">
      <w:r w:rsidRPr="001959F5">
        <w:rPr>
          <w:b/>
          <w:bCs/>
        </w:rPr>
        <w:t>Art. 2.</w:t>
      </w:r>
      <w:r w:rsidRPr="001959F5">
        <w:t xml:space="preserve"> </w:t>
      </w:r>
      <w:r w:rsidRPr="001959F5">
        <w:rPr>
          <w:b/>
          <w:bCs/>
        </w:rPr>
        <w:t>Przepisy przejściowe i dostosowujące</w:t>
      </w:r>
    </w:p>
    <w:p w14:paraId="1BFB17F9" w14:textId="77777777" w:rsidR="001959F5" w:rsidRPr="001959F5" w:rsidRDefault="001959F5" w:rsidP="001959F5">
      <w:pPr>
        <w:numPr>
          <w:ilvl w:val="0"/>
          <w:numId w:val="9"/>
        </w:numPr>
      </w:pPr>
      <w:r w:rsidRPr="001959F5">
        <w:t xml:space="preserve">Do wniosków o udostępnienie informacji publicznej złożonych i nierozpatrzonych przed dniem wejścia w życie niniejszej ustawy stosuje się przepisy </w:t>
      </w:r>
      <w:r w:rsidRPr="001959F5">
        <w:lastRenderedPageBreak/>
        <w:t>dotychczasowe, z tym że jeżeli termin załatwienia sprawy według przepisów dotychczasowych jest dłuższy niż według przepisów nowych, stosuje się termin krótszy.</w:t>
      </w:r>
    </w:p>
    <w:p w14:paraId="0AD35C2A" w14:textId="77777777" w:rsidR="001959F5" w:rsidRPr="001959F5" w:rsidRDefault="001959F5" w:rsidP="001959F5">
      <w:pPr>
        <w:numPr>
          <w:ilvl w:val="0"/>
          <w:numId w:val="9"/>
        </w:numPr>
      </w:pPr>
      <w:r w:rsidRPr="001959F5">
        <w:t>Rekompensata, o której mowa w art. 13 ust. 2b ustawy zmienianej w art. 1, przysługuje za zwłokę powstałą po dniu wejścia w życie niniejszej ustawy.</w:t>
      </w:r>
    </w:p>
    <w:p w14:paraId="69836D47" w14:textId="77777777" w:rsidR="001959F5" w:rsidRPr="001959F5" w:rsidRDefault="001959F5" w:rsidP="001959F5">
      <w:pPr>
        <w:numPr>
          <w:ilvl w:val="0"/>
          <w:numId w:val="9"/>
        </w:numPr>
      </w:pPr>
      <w:r w:rsidRPr="001959F5">
        <w:t>Obowiązek prowadzenia rejestru, o którym mowa w art. 23a ustawy zmienianej w art. 1, powstaje z dniem 1 stycznia 2025 r.</w:t>
      </w:r>
    </w:p>
    <w:p w14:paraId="72043B92" w14:textId="77777777" w:rsidR="001959F5" w:rsidRPr="001959F5" w:rsidRDefault="001959F5" w:rsidP="001959F5">
      <w:pPr>
        <w:numPr>
          <w:ilvl w:val="0"/>
          <w:numId w:val="9"/>
        </w:numPr>
      </w:pPr>
      <w:r w:rsidRPr="001959F5">
        <w:t>Pierwsze sprawozdanie, o którym mowa w art. 23b ustawy zmienianej w art. 1, obejmuje okres od dnia wejścia w życie ustawy do końca kwartału kalendarzowego, w którym ustawa weszła w życie.</w:t>
      </w:r>
    </w:p>
    <w:p w14:paraId="276E36C5" w14:textId="77777777" w:rsidR="001959F5" w:rsidRPr="001959F5" w:rsidRDefault="001959F5" w:rsidP="001959F5">
      <w:r w:rsidRPr="001959F5">
        <w:rPr>
          <w:b/>
          <w:bCs/>
        </w:rPr>
        <w:t>Art. 3.</w:t>
      </w:r>
      <w:r w:rsidRPr="001959F5">
        <w:t xml:space="preserve"> </w:t>
      </w:r>
      <w:r w:rsidRPr="001959F5">
        <w:rPr>
          <w:b/>
          <w:bCs/>
        </w:rPr>
        <w:t>Przepis końcowy</w:t>
      </w:r>
    </w:p>
    <w:p w14:paraId="4A37D83E" w14:textId="77777777" w:rsidR="001959F5" w:rsidRPr="001959F5" w:rsidRDefault="001959F5" w:rsidP="001959F5">
      <w:r w:rsidRPr="001959F5">
        <w:t>Ustawa wchodzi w życie po upływie 30 dni od dnia ogłoszenia, z wyjątkiem art. 1 pkt 3, który wchodzi w życie po upływie 3 miesięcy od dnia ogłoszenia.</w:t>
      </w:r>
    </w:p>
    <w:p w14:paraId="5B6F9099" w14:textId="77777777" w:rsidR="001959F5" w:rsidRPr="001959F5" w:rsidRDefault="00000000" w:rsidP="001959F5">
      <w:r>
        <w:pict w14:anchorId="7E04613C">
          <v:rect id="_x0000_i1026" style="width:0;height:1.5pt" o:hralign="center" o:hrstd="t" o:hr="t" fillcolor="#a0a0a0" stroked="f"/>
        </w:pict>
      </w:r>
    </w:p>
    <w:p w14:paraId="620B21C2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UZASADNIENIE</w:t>
      </w:r>
    </w:p>
    <w:p w14:paraId="601B0A0F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I. Cel projektowanej regulacji</w:t>
      </w:r>
    </w:p>
    <w:p w14:paraId="085DC196" w14:textId="77777777" w:rsidR="001959F5" w:rsidRPr="001959F5" w:rsidRDefault="001959F5" w:rsidP="001959F5">
      <w:r w:rsidRPr="001959F5">
        <w:t>Celem projektu ustawy o zmianie ustawy o dostępie do informacji publicznej jest zwiększenie efektywności realizacji konstytucyjnego prawa dostępu do informacji publicznej poprzez:</w:t>
      </w:r>
    </w:p>
    <w:p w14:paraId="0FD84CB2" w14:textId="77777777" w:rsidR="001959F5" w:rsidRPr="001959F5" w:rsidRDefault="001959F5" w:rsidP="001959F5">
      <w:pPr>
        <w:numPr>
          <w:ilvl w:val="0"/>
          <w:numId w:val="10"/>
        </w:numPr>
      </w:pPr>
      <w:r w:rsidRPr="001959F5">
        <w:t>Skrócenie terminów udostępniania informacji publicznej</w:t>
      </w:r>
    </w:p>
    <w:p w14:paraId="7802FACA" w14:textId="77777777" w:rsidR="001959F5" w:rsidRPr="001959F5" w:rsidRDefault="001959F5" w:rsidP="001959F5">
      <w:pPr>
        <w:numPr>
          <w:ilvl w:val="0"/>
          <w:numId w:val="10"/>
        </w:numPr>
      </w:pPr>
      <w:r w:rsidRPr="001959F5">
        <w:t>Wprowadzenie skutecznych mechanizmów sankcjonujących bezczynność i przewlekłość</w:t>
      </w:r>
    </w:p>
    <w:p w14:paraId="255C0514" w14:textId="77777777" w:rsidR="001959F5" w:rsidRPr="001959F5" w:rsidRDefault="001959F5" w:rsidP="001959F5">
      <w:pPr>
        <w:numPr>
          <w:ilvl w:val="0"/>
          <w:numId w:val="10"/>
        </w:numPr>
      </w:pPr>
      <w:r w:rsidRPr="001959F5">
        <w:t>Zapewnienie merytorycznych odpowiedzi na wnioski</w:t>
      </w:r>
    </w:p>
    <w:p w14:paraId="563BA71B" w14:textId="77777777" w:rsidR="001959F5" w:rsidRPr="001959F5" w:rsidRDefault="001959F5" w:rsidP="001959F5">
      <w:pPr>
        <w:numPr>
          <w:ilvl w:val="0"/>
          <w:numId w:val="10"/>
        </w:numPr>
      </w:pPr>
      <w:r w:rsidRPr="001959F5">
        <w:t>Zwiększenie transparentności procesu udostępniania informacji</w:t>
      </w:r>
    </w:p>
    <w:p w14:paraId="4986A4A7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II. Stan obecny</w:t>
      </w:r>
    </w:p>
    <w:p w14:paraId="4D677F72" w14:textId="77777777" w:rsidR="001959F5" w:rsidRPr="001959F5" w:rsidRDefault="001959F5" w:rsidP="001959F5">
      <w:r w:rsidRPr="001959F5">
        <w:t>Obecnie obowiązująca ustawa z dnia 6 września 2001 r. o dostępie do informacji publicznej przewiduje 14-dniowy termin na udostępnienie informacji z możliwością przedłużenia do 2 miesięcy. W praktyce:</w:t>
      </w:r>
    </w:p>
    <w:p w14:paraId="16911E05" w14:textId="77777777" w:rsidR="001959F5" w:rsidRPr="001959F5" w:rsidRDefault="001959F5" w:rsidP="001959F5">
      <w:pPr>
        <w:numPr>
          <w:ilvl w:val="0"/>
          <w:numId w:val="11"/>
        </w:numPr>
      </w:pPr>
      <w:r w:rsidRPr="001959F5">
        <w:t>Podmioty nagminnie wykorzystują maksymalne terminy</w:t>
      </w:r>
    </w:p>
    <w:p w14:paraId="583964FB" w14:textId="77777777" w:rsidR="001959F5" w:rsidRPr="001959F5" w:rsidRDefault="001959F5" w:rsidP="001959F5">
      <w:pPr>
        <w:numPr>
          <w:ilvl w:val="0"/>
          <w:numId w:val="11"/>
        </w:numPr>
      </w:pPr>
      <w:r w:rsidRPr="001959F5">
        <w:t>Brak skutecznych sankcji za nieudostępnianie informacji</w:t>
      </w:r>
    </w:p>
    <w:p w14:paraId="2CE3CFBF" w14:textId="77777777" w:rsidR="001959F5" w:rsidRPr="001959F5" w:rsidRDefault="001959F5" w:rsidP="001959F5">
      <w:pPr>
        <w:numPr>
          <w:ilvl w:val="0"/>
          <w:numId w:val="11"/>
        </w:numPr>
      </w:pPr>
      <w:r w:rsidRPr="001959F5">
        <w:t>Częste są odpowiedzi wymijające lub niepełne</w:t>
      </w:r>
    </w:p>
    <w:p w14:paraId="3AA58EB4" w14:textId="77777777" w:rsidR="001959F5" w:rsidRPr="001959F5" w:rsidRDefault="001959F5" w:rsidP="001959F5">
      <w:pPr>
        <w:numPr>
          <w:ilvl w:val="0"/>
          <w:numId w:val="11"/>
        </w:numPr>
      </w:pPr>
      <w:r w:rsidRPr="001959F5">
        <w:t>Postępowania sądowe są przewlekłe</w:t>
      </w:r>
    </w:p>
    <w:p w14:paraId="7C6071B1" w14:textId="77777777" w:rsidR="001959F5" w:rsidRPr="001959F5" w:rsidRDefault="001959F5" w:rsidP="001959F5">
      <w:r w:rsidRPr="001959F5">
        <w:lastRenderedPageBreak/>
        <w:t>Według danych Naczelnego Sądu Administracyjnego, w 2023 r.:</w:t>
      </w:r>
    </w:p>
    <w:p w14:paraId="1AF69F7F" w14:textId="77777777" w:rsidR="001959F5" w:rsidRPr="001959F5" w:rsidRDefault="001959F5" w:rsidP="001959F5">
      <w:pPr>
        <w:numPr>
          <w:ilvl w:val="0"/>
          <w:numId w:val="12"/>
        </w:numPr>
      </w:pPr>
      <w:r w:rsidRPr="001959F5">
        <w:t>Średni czas rozpatrzenia skargi wynosił 6 miesięcy</w:t>
      </w:r>
    </w:p>
    <w:p w14:paraId="025178EC" w14:textId="77777777" w:rsidR="001959F5" w:rsidRPr="001959F5" w:rsidRDefault="001959F5" w:rsidP="001959F5">
      <w:pPr>
        <w:numPr>
          <w:ilvl w:val="0"/>
          <w:numId w:val="12"/>
        </w:numPr>
      </w:pPr>
      <w:r w:rsidRPr="001959F5">
        <w:t>W 68% przypadków sądy uwzględniały skargi na bezczynność</w:t>
      </w:r>
    </w:p>
    <w:p w14:paraId="0A98A88A" w14:textId="77777777" w:rsidR="001959F5" w:rsidRPr="001959F5" w:rsidRDefault="001959F5" w:rsidP="001959F5">
      <w:pPr>
        <w:numPr>
          <w:ilvl w:val="0"/>
          <w:numId w:val="12"/>
        </w:numPr>
      </w:pPr>
      <w:r w:rsidRPr="001959F5">
        <w:t>Tylko w 3% przypadków nałożono kary z art. 23 ustawy</w:t>
      </w:r>
    </w:p>
    <w:p w14:paraId="1D866F75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III. Proponowane zmiany</w:t>
      </w:r>
    </w:p>
    <w:p w14:paraId="496EA440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1. Skrócenie terminów (art. 13)</w:t>
      </w:r>
    </w:p>
    <w:p w14:paraId="34A00427" w14:textId="77777777" w:rsidR="001959F5" w:rsidRPr="001959F5" w:rsidRDefault="001959F5" w:rsidP="001959F5">
      <w:pPr>
        <w:numPr>
          <w:ilvl w:val="0"/>
          <w:numId w:val="13"/>
        </w:numPr>
      </w:pPr>
      <w:r w:rsidRPr="001959F5">
        <w:t>Podstawowy termin: z 14 dni do 7 dni roboczych</w:t>
      </w:r>
    </w:p>
    <w:p w14:paraId="79CC26AE" w14:textId="77777777" w:rsidR="001959F5" w:rsidRPr="001959F5" w:rsidRDefault="001959F5" w:rsidP="001959F5">
      <w:pPr>
        <w:numPr>
          <w:ilvl w:val="0"/>
          <w:numId w:val="13"/>
        </w:numPr>
      </w:pPr>
      <w:r w:rsidRPr="001959F5">
        <w:t>Maksymalne przedłużenie: z 2 miesięcy do 30 dni</w:t>
      </w:r>
    </w:p>
    <w:p w14:paraId="27F4CB3C" w14:textId="77777777" w:rsidR="001959F5" w:rsidRPr="001959F5" w:rsidRDefault="001959F5" w:rsidP="001959F5">
      <w:pPr>
        <w:numPr>
          <w:ilvl w:val="0"/>
          <w:numId w:val="13"/>
        </w:numPr>
      </w:pPr>
      <w:r w:rsidRPr="001959F5">
        <w:t>Uzasadnienie: współczesne technologie umożliwiają szybsze przetwarzanie informacji</w:t>
      </w:r>
    </w:p>
    <w:p w14:paraId="75259788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2. System rekompensat (art. 13 ust. 2b-2d)</w:t>
      </w:r>
    </w:p>
    <w:p w14:paraId="3E333B56" w14:textId="77777777" w:rsidR="001959F5" w:rsidRPr="001959F5" w:rsidRDefault="001959F5" w:rsidP="001959F5">
      <w:pPr>
        <w:numPr>
          <w:ilvl w:val="0"/>
          <w:numId w:val="14"/>
        </w:numPr>
      </w:pPr>
      <w:r w:rsidRPr="001959F5">
        <w:t>Automatyczna rekompensata za zwłokę (100 zł/dzień roboczy)</w:t>
      </w:r>
    </w:p>
    <w:p w14:paraId="4E7820B1" w14:textId="77777777" w:rsidR="001959F5" w:rsidRPr="001959F5" w:rsidRDefault="001959F5" w:rsidP="001959F5">
      <w:pPr>
        <w:numPr>
          <w:ilvl w:val="0"/>
          <w:numId w:val="14"/>
        </w:numPr>
      </w:pPr>
      <w:r w:rsidRPr="001959F5">
        <w:t>Utrata prawa do opłat przy przekroczeniu terminu</w:t>
      </w:r>
    </w:p>
    <w:p w14:paraId="718B06F5" w14:textId="77777777" w:rsidR="001959F5" w:rsidRPr="001959F5" w:rsidRDefault="001959F5" w:rsidP="001959F5">
      <w:pPr>
        <w:numPr>
          <w:ilvl w:val="0"/>
          <w:numId w:val="14"/>
        </w:numPr>
      </w:pPr>
      <w:r w:rsidRPr="001959F5">
        <w:t>Uzasadnienie: motywacja ekonomiczna do terminowości</w:t>
      </w:r>
    </w:p>
    <w:p w14:paraId="7D96CAFA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3. Wymóg merytorycznej odpowiedzi (art. 14a)</w:t>
      </w:r>
    </w:p>
    <w:p w14:paraId="1CF5E144" w14:textId="77777777" w:rsidR="001959F5" w:rsidRPr="001959F5" w:rsidRDefault="001959F5" w:rsidP="001959F5">
      <w:pPr>
        <w:numPr>
          <w:ilvl w:val="0"/>
          <w:numId w:val="15"/>
        </w:numPr>
      </w:pPr>
      <w:r w:rsidRPr="001959F5">
        <w:t>Obowiązek odniesienia się do wszystkich elementów wniosku</w:t>
      </w:r>
    </w:p>
    <w:p w14:paraId="1FCFBEB4" w14:textId="77777777" w:rsidR="001959F5" w:rsidRPr="001959F5" w:rsidRDefault="001959F5" w:rsidP="001959F5">
      <w:pPr>
        <w:numPr>
          <w:ilvl w:val="0"/>
          <w:numId w:val="15"/>
        </w:numPr>
      </w:pPr>
      <w:r w:rsidRPr="001959F5">
        <w:t>Zakaz odpowiedzi ogólnikowych</w:t>
      </w:r>
    </w:p>
    <w:p w14:paraId="7FD3C06D" w14:textId="77777777" w:rsidR="001959F5" w:rsidRPr="001959F5" w:rsidRDefault="001959F5" w:rsidP="001959F5">
      <w:pPr>
        <w:numPr>
          <w:ilvl w:val="0"/>
          <w:numId w:val="15"/>
        </w:numPr>
      </w:pPr>
      <w:r w:rsidRPr="001959F5">
        <w:t>Możliwość skargi bez trybu odwoławczego</w:t>
      </w:r>
    </w:p>
    <w:p w14:paraId="798A08E9" w14:textId="77777777" w:rsidR="001959F5" w:rsidRPr="001959F5" w:rsidRDefault="001959F5" w:rsidP="001959F5">
      <w:pPr>
        <w:numPr>
          <w:ilvl w:val="0"/>
          <w:numId w:val="15"/>
        </w:numPr>
      </w:pPr>
      <w:r w:rsidRPr="001959F5">
        <w:t>Uzasadnienie: eliminacja praktyki unikania odpowiedzi</w:t>
      </w:r>
    </w:p>
    <w:p w14:paraId="3F84C177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4. Wzmocnienie kar (art. 23)</w:t>
      </w:r>
    </w:p>
    <w:p w14:paraId="62FEBE95" w14:textId="77777777" w:rsidR="001959F5" w:rsidRPr="001959F5" w:rsidRDefault="001959F5" w:rsidP="001959F5">
      <w:pPr>
        <w:numPr>
          <w:ilvl w:val="0"/>
          <w:numId w:val="16"/>
        </w:numPr>
      </w:pPr>
      <w:r w:rsidRPr="001959F5">
        <w:t>Kary grzywny w trybie wykroczeniowym (szybsze postępowanie)</w:t>
      </w:r>
    </w:p>
    <w:p w14:paraId="61E2377D" w14:textId="77777777" w:rsidR="001959F5" w:rsidRPr="001959F5" w:rsidRDefault="001959F5" w:rsidP="001959F5">
      <w:pPr>
        <w:numPr>
          <w:ilvl w:val="0"/>
          <w:numId w:val="16"/>
        </w:numPr>
      </w:pPr>
      <w:r w:rsidRPr="001959F5">
        <w:t>Progresja kar dla recydywistów</w:t>
      </w:r>
    </w:p>
    <w:p w14:paraId="3E779CB0" w14:textId="77777777" w:rsidR="001959F5" w:rsidRPr="001959F5" w:rsidRDefault="001959F5" w:rsidP="001959F5">
      <w:pPr>
        <w:numPr>
          <w:ilvl w:val="0"/>
          <w:numId w:val="16"/>
        </w:numPr>
      </w:pPr>
      <w:r w:rsidRPr="001959F5">
        <w:t>Uzasadnienie: zwiększenie skuteczności sankcji</w:t>
      </w:r>
    </w:p>
    <w:p w14:paraId="0DC2E375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5. Transparentność (art. 23a-23c)</w:t>
      </w:r>
    </w:p>
    <w:p w14:paraId="089CB8FA" w14:textId="77777777" w:rsidR="001959F5" w:rsidRPr="001959F5" w:rsidRDefault="001959F5" w:rsidP="001959F5">
      <w:pPr>
        <w:numPr>
          <w:ilvl w:val="0"/>
          <w:numId w:val="17"/>
        </w:numPr>
      </w:pPr>
      <w:r w:rsidRPr="001959F5">
        <w:t>Publiczne rejestry i sprawozdania</w:t>
      </w:r>
    </w:p>
    <w:p w14:paraId="7F710E81" w14:textId="77777777" w:rsidR="001959F5" w:rsidRPr="001959F5" w:rsidRDefault="001959F5" w:rsidP="001959F5">
      <w:pPr>
        <w:numPr>
          <w:ilvl w:val="0"/>
          <w:numId w:val="17"/>
        </w:numPr>
      </w:pPr>
      <w:r w:rsidRPr="001959F5">
        <w:t>Obowiązkowe szkolenia dla podmiotów naruszających przepisy</w:t>
      </w:r>
    </w:p>
    <w:p w14:paraId="2F467A34" w14:textId="77777777" w:rsidR="001959F5" w:rsidRPr="001959F5" w:rsidRDefault="001959F5" w:rsidP="001959F5">
      <w:pPr>
        <w:numPr>
          <w:ilvl w:val="0"/>
          <w:numId w:val="17"/>
        </w:numPr>
      </w:pPr>
      <w:r w:rsidRPr="001959F5">
        <w:t>Uzasadnienie: kontrola społeczna i prewencja</w:t>
      </w:r>
    </w:p>
    <w:p w14:paraId="3DCAE2CD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IV. Przewidywane skutki</w:t>
      </w:r>
    </w:p>
    <w:p w14:paraId="2B6B9802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lastRenderedPageBreak/>
        <w:t>Skutki społeczne:</w:t>
      </w:r>
    </w:p>
    <w:p w14:paraId="59B34DC8" w14:textId="77777777" w:rsidR="001959F5" w:rsidRPr="001959F5" w:rsidRDefault="001959F5" w:rsidP="001959F5">
      <w:pPr>
        <w:numPr>
          <w:ilvl w:val="0"/>
          <w:numId w:val="18"/>
        </w:numPr>
      </w:pPr>
      <w:r w:rsidRPr="001959F5">
        <w:t>Poprawa dostępu obywateli do informacji publicznej</w:t>
      </w:r>
    </w:p>
    <w:p w14:paraId="4EBBCF51" w14:textId="77777777" w:rsidR="001959F5" w:rsidRPr="001959F5" w:rsidRDefault="001959F5" w:rsidP="001959F5">
      <w:pPr>
        <w:numPr>
          <w:ilvl w:val="0"/>
          <w:numId w:val="18"/>
        </w:numPr>
      </w:pPr>
      <w:r w:rsidRPr="001959F5">
        <w:t>Zwiększenie zaufania do instytucji publicznych</w:t>
      </w:r>
    </w:p>
    <w:p w14:paraId="160D3237" w14:textId="77777777" w:rsidR="001959F5" w:rsidRPr="001959F5" w:rsidRDefault="001959F5" w:rsidP="001959F5">
      <w:pPr>
        <w:numPr>
          <w:ilvl w:val="0"/>
          <w:numId w:val="18"/>
        </w:numPr>
      </w:pPr>
      <w:r w:rsidRPr="001959F5">
        <w:t>Wzmocnienie kontroli społecznej</w:t>
      </w:r>
    </w:p>
    <w:p w14:paraId="134C2F04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Skutki finansowe:</w:t>
      </w:r>
    </w:p>
    <w:p w14:paraId="6CB4676B" w14:textId="77777777" w:rsidR="001959F5" w:rsidRPr="001959F5" w:rsidRDefault="001959F5" w:rsidP="001959F5">
      <w:pPr>
        <w:numPr>
          <w:ilvl w:val="0"/>
          <w:numId w:val="19"/>
        </w:numPr>
      </w:pPr>
      <w:r w:rsidRPr="001959F5">
        <w:t>Koszty rekompensat: szacunkowo 2-5 mln zł rocznie (przy założeniu 1000 przypadków zwłoki)</w:t>
      </w:r>
    </w:p>
    <w:p w14:paraId="5FF07233" w14:textId="77777777" w:rsidR="001959F5" w:rsidRPr="001959F5" w:rsidRDefault="001959F5" w:rsidP="001959F5">
      <w:pPr>
        <w:numPr>
          <w:ilvl w:val="0"/>
          <w:numId w:val="19"/>
        </w:numPr>
      </w:pPr>
      <w:r w:rsidRPr="001959F5">
        <w:t>Oszczędności: redukcja kosztów postępowań sądowych</w:t>
      </w:r>
    </w:p>
    <w:p w14:paraId="2659F1F6" w14:textId="77777777" w:rsidR="001959F5" w:rsidRPr="001959F5" w:rsidRDefault="001959F5" w:rsidP="001959F5">
      <w:pPr>
        <w:numPr>
          <w:ilvl w:val="0"/>
          <w:numId w:val="19"/>
        </w:numPr>
      </w:pPr>
      <w:r w:rsidRPr="001959F5">
        <w:t>Koszty szkoleń: około 500 tys. zł rocznie</w:t>
      </w:r>
    </w:p>
    <w:p w14:paraId="63A41F44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Skutki organizacyjne:</w:t>
      </w:r>
    </w:p>
    <w:p w14:paraId="2A5056AF" w14:textId="77777777" w:rsidR="001959F5" w:rsidRPr="001959F5" w:rsidRDefault="001959F5" w:rsidP="001959F5">
      <w:pPr>
        <w:numPr>
          <w:ilvl w:val="0"/>
          <w:numId w:val="20"/>
        </w:numPr>
      </w:pPr>
      <w:r w:rsidRPr="001959F5">
        <w:t>Konieczność reorganizacji pracy w jednostkach</w:t>
      </w:r>
    </w:p>
    <w:p w14:paraId="671A4F63" w14:textId="77777777" w:rsidR="001959F5" w:rsidRPr="001959F5" w:rsidRDefault="001959F5" w:rsidP="001959F5">
      <w:pPr>
        <w:numPr>
          <w:ilvl w:val="0"/>
          <w:numId w:val="20"/>
        </w:numPr>
      </w:pPr>
      <w:r w:rsidRPr="001959F5">
        <w:t>Informatyzacja procesów udostępniania informacji</w:t>
      </w:r>
    </w:p>
    <w:p w14:paraId="776484AB" w14:textId="77777777" w:rsidR="001959F5" w:rsidRPr="001959F5" w:rsidRDefault="001959F5" w:rsidP="001959F5">
      <w:pPr>
        <w:numPr>
          <w:ilvl w:val="0"/>
          <w:numId w:val="20"/>
        </w:numPr>
      </w:pPr>
      <w:r w:rsidRPr="001959F5">
        <w:t>Szkolenia pracowników</w:t>
      </w:r>
    </w:p>
    <w:p w14:paraId="6642900D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V. Konsultacje</w:t>
      </w:r>
    </w:p>
    <w:p w14:paraId="229D2D59" w14:textId="77777777" w:rsidR="001959F5" w:rsidRPr="001959F5" w:rsidRDefault="001959F5" w:rsidP="001959F5">
      <w:r w:rsidRPr="001959F5">
        <w:t>Projekt powinien być przedmiotem konsultacji z:</w:t>
      </w:r>
    </w:p>
    <w:p w14:paraId="02E17505" w14:textId="77777777" w:rsidR="001959F5" w:rsidRPr="001959F5" w:rsidRDefault="001959F5" w:rsidP="001959F5">
      <w:pPr>
        <w:numPr>
          <w:ilvl w:val="0"/>
          <w:numId w:val="21"/>
        </w:numPr>
      </w:pPr>
      <w:r w:rsidRPr="001959F5">
        <w:t>Organizacjami pozarządowymi zajmującymi się dostępem do informacji</w:t>
      </w:r>
    </w:p>
    <w:p w14:paraId="1E52F172" w14:textId="77777777" w:rsidR="001959F5" w:rsidRPr="001959F5" w:rsidRDefault="001959F5" w:rsidP="001959F5">
      <w:pPr>
        <w:numPr>
          <w:ilvl w:val="0"/>
          <w:numId w:val="21"/>
        </w:numPr>
      </w:pPr>
      <w:r w:rsidRPr="001959F5">
        <w:t>Związkiem Miast Polskich i Związkiem Powiatów Polskich</w:t>
      </w:r>
    </w:p>
    <w:p w14:paraId="6F0577D5" w14:textId="77777777" w:rsidR="001959F5" w:rsidRPr="001959F5" w:rsidRDefault="001959F5" w:rsidP="001959F5">
      <w:pPr>
        <w:numPr>
          <w:ilvl w:val="0"/>
          <w:numId w:val="21"/>
        </w:numPr>
      </w:pPr>
      <w:r w:rsidRPr="001959F5">
        <w:t>Rzecznikiem Praw Obywatelskich</w:t>
      </w:r>
    </w:p>
    <w:p w14:paraId="3FD319EB" w14:textId="77777777" w:rsidR="001959F5" w:rsidRPr="001959F5" w:rsidRDefault="001959F5" w:rsidP="001959F5">
      <w:pPr>
        <w:numPr>
          <w:ilvl w:val="0"/>
          <w:numId w:val="21"/>
        </w:numPr>
      </w:pPr>
      <w:r w:rsidRPr="001959F5">
        <w:t>Naczelnym Sądem Administracyjnym</w:t>
      </w:r>
    </w:p>
    <w:p w14:paraId="209629CF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VI. Zgodność z prawem Unii Europejskiej</w:t>
      </w:r>
    </w:p>
    <w:p w14:paraId="3BCEB115" w14:textId="77777777" w:rsidR="001959F5" w:rsidRPr="001959F5" w:rsidRDefault="001959F5" w:rsidP="001959F5">
      <w:r w:rsidRPr="001959F5">
        <w:t>Projekt jest zgodny z prawem UE, w szczególności z:</w:t>
      </w:r>
    </w:p>
    <w:p w14:paraId="036C4607" w14:textId="77777777" w:rsidR="001959F5" w:rsidRPr="001959F5" w:rsidRDefault="001959F5" w:rsidP="001959F5">
      <w:pPr>
        <w:numPr>
          <w:ilvl w:val="0"/>
          <w:numId w:val="22"/>
        </w:numPr>
      </w:pPr>
      <w:r w:rsidRPr="001959F5">
        <w:t>Dyrektywą 2003/98/WE w sprawie ponownego wykorzystywania informacji sektora publicznego</w:t>
      </w:r>
    </w:p>
    <w:p w14:paraId="6BC73463" w14:textId="77777777" w:rsidR="001959F5" w:rsidRPr="001959F5" w:rsidRDefault="001959F5" w:rsidP="001959F5">
      <w:pPr>
        <w:numPr>
          <w:ilvl w:val="0"/>
          <w:numId w:val="22"/>
        </w:numPr>
      </w:pPr>
      <w:r w:rsidRPr="001959F5">
        <w:t>Rozporządzeniem 1049/2001 w sprawie publicznego dostępu do dokumentów</w:t>
      </w:r>
    </w:p>
    <w:p w14:paraId="54319C7F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VII. Notyfikacja</w:t>
      </w:r>
    </w:p>
    <w:p w14:paraId="0E4D8896" w14:textId="77777777" w:rsidR="001959F5" w:rsidRPr="001959F5" w:rsidRDefault="001959F5" w:rsidP="001959F5">
      <w:r w:rsidRPr="001959F5">
        <w:t>Projekt nie wymaga notyfikacji Komisji Europejskiej.</w:t>
      </w:r>
    </w:p>
    <w:p w14:paraId="4F7D8ACE" w14:textId="77777777" w:rsidR="001959F5" w:rsidRPr="001959F5" w:rsidRDefault="00000000" w:rsidP="001959F5">
      <w:r>
        <w:pict w14:anchorId="09134531">
          <v:rect id="_x0000_i1027" style="width:0;height:1.5pt" o:hralign="center" o:hrstd="t" o:hr="t" fillcolor="#a0a0a0" stroked="f"/>
        </w:pict>
      </w:r>
    </w:p>
    <w:p w14:paraId="1E42D00A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OCENA SKUTKÓW REGULACJI</w:t>
      </w:r>
    </w:p>
    <w:p w14:paraId="0433C2E3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1. Podmioty, na które oddziałuje projekt</w:t>
      </w:r>
    </w:p>
    <w:p w14:paraId="50C83B3B" w14:textId="77777777" w:rsidR="001959F5" w:rsidRPr="001959F5" w:rsidRDefault="001959F5" w:rsidP="001959F5">
      <w:pPr>
        <w:numPr>
          <w:ilvl w:val="0"/>
          <w:numId w:val="23"/>
        </w:numPr>
      </w:pPr>
      <w:r w:rsidRPr="001959F5">
        <w:lastRenderedPageBreak/>
        <w:t>Organy administracji publicznej (ok. 65 000 jednostek)</w:t>
      </w:r>
    </w:p>
    <w:p w14:paraId="2C952C30" w14:textId="77777777" w:rsidR="001959F5" w:rsidRPr="001959F5" w:rsidRDefault="001959F5" w:rsidP="001959F5">
      <w:pPr>
        <w:numPr>
          <w:ilvl w:val="0"/>
          <w:numId w:val="23"/>
        </w:numPr>
      </w:pPr>
      <w:r w:rsidRPr="001959F5">
        <w:t>Obywatele korzystający z prawa dostępu do informacji (ok. 200 000 wniosków rocznie)</w:t>
      </w:r>
    </w:p>
    <w:p w14:paraId="71CCFA89" w14:textId="77777777" w:rsidR="001959F5" w:rsidRPr="001959F5" w:rsidRDefault="001959F5" w:rsidP="001959F5">
      <w:pPr>
        <w:numPr>
          <w:ilvl w:val="0"/>
          <w:numId w:val="23"/>
        </w:numPr>
      </w:pPr>
      <w:r w:rsidRPr="001959F5">
        <w:t>Organizacje pozarządowe</w:t>
      </w:r>
    </w:p>
    <w:p w14:paraId="5FB45673" w14:textId="77777777" w:rsidR="001959F5" w:rsidRPr="001959F5" w:rsidRDefault="001959F5" w:rsidP="001959F5">
      <w:pPr>
        <w:numPr>
          <w:ilvl w:val="0"/>
          <w:numId w:val="23"/>
        </w:numPr>
      </w:pPr>
      <w:r w:rsidRPr="001959F5">
        <w:t>Dziennikarze</w:t>
      </w:r>
    </w:p>
    <w:p w14:paraId="24655D36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2. Wpływ na sektor finansów publicznych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640"/>
        <w:gridCol w:w="2449"/>
      </w:tblGrid>
      <w:tr w:rsidR="001959F5" w:rsidRPr="001959F5" w14:paraId="7EDDD3EB" w14:textId="77777777" w:rsidTr="001959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B59584" w14:textId="77777777" w:rsidR="001959F5" w:rsidRPr="001959F5" w:rsidRDefault="001959F5" w:rsidP="001959F5">
            <w:pPr>
              <w:rPr>
                <w:b/>
                <w:bCs/>
              </w:rPr>
            </w:pPr>
            <w:r w:rsidRPr="001959F5">
              <w:rPr>
                <w:b/>
                <w:bCs/>
              </w:rPr>
              <w:t>Rok</w:t>
            </w:r>
          </w:p>
        </w:tc>
        <w:tc>
          <w:tcPr>
            <w:tcW w:w="0" w:type="auto"/>
            <w:vAlign w:val="center"/>
            <w:hideMark/>
          </w:tcPr>
          <w:p w14:paraId="5435CBEF" w14:textId="77777777" w:rsidR="001959F5" w:rsidRPr="001959F5" w:rsidRDefault="001959F5" w:rsidP="001959F5">
            <w:pPr>
              <w:rPr>
                <w:b/>
                <w:bCs/>
              </w:rPr>
            </w:pPr>
            <w:r w:rsidRPr="001959F5">
              <w:rPr>
                <w:b/>
                <w:bCs/>
              </w:rPr>
              <w:t>Koszty (mln zł)</w:t>
            </w:r>
          </w:p>
        </w:tc>
        <w:tc>
          <w:tcPr>
            <w:tcW w:w="0" w:type="auto"/>
            <w:vAlign w:val="center"/>
            <w:hideMark/>
          </w:tcPr>
          <w:p w14:paraId="2EDD67A4" w14:textId="77777777" w:rsidR="001959F5" w:rsidRPr="001959F5" w:rsidRDefault="001959F5" w:rsidP="001959F5">
            <w:pPr>
              <w:rPr>
                <w:b/>
                <w:bCs/>
              </w:rPr>
            </w:pPr>
            <w:r w:rsidRPr="001959F5">
              <w:rPr>
                <w:b/>
                <w:bCs/>
              </w:rPr>
              <w:t>Oszczędności (mln zł)</w:t>
            </w:r>
          </w:p>
        </w:tc>
      </w:tr>
      <w:tr w:rsidR="001959F5" w:rsidRPr="001959F5" w14:paraId="0F3F64D9" w14:textId="77777777" w:rsidTr="00195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DA4E" w14:textId="77777777" w:rsidR="001959F5" w:rsidRPr="001959F5" w:rsidRDefault="001959F5" w:rsidP="001959F5">
            <w:r w:rsidRPr="001959F5">
              <w:t>1</w:t>
            </w:r>
          </w:p>
        </w:tc>
        <w:tc>
          <w:tcPr>
            <w:tcW w:w="0" w:type="auto"/>
            <w:vAlign w:val="center"/>
            <w:hideMark/>
          </w:tcPr>
          <w:p w14:paraId="711EA698" w14:textId="77777777" w:rsidR="001959F5" w:rsidRPr="001959F5" w:rsidRDefault="001959F5" w:rsidP="001959F5">
            <w:r w:rsidRPr="001959F5">
              <w:t>3,5</w:t>
            </w:r>
          </w:p>
        </w:tc>
        <w:tc>
          <w:tcPr>
            <w:tcW w:w="0" w:type="auto"/>
            <w:vAlign w:val="center"/>
            <w:hideMark/>
          </w:tcPr>
          <w:p w14:paraId="3FEA0144" w14:textId="77777777" w:rsidR="001959F5" w:rsidRPr="001959F5" w:rsidRDefault="001959F5" w:rsidP="001959F5">
            <w:r w:rsidRPr="001959F5">
              <w:t>1,0</w:t>
            </w:r>
          </w:p>
        </w:tc>
      </w:tr>
      <w:tr w:rsidR="001959F5" w:rsidRPr="001959F5" w14:paraId="66027AE4" w14:textId="77777777" w:rsidTr="00195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C95D4" w14:textId="77777777" w:rsidR="001959F5" w:rsidRPr="001959F5" w:rsidRDefault="001959F5" w:rsidP="001959F5">
            <w:r w:rsidRPr="001959F5">
              <w:t>2</w:t>
            </w:r>
          </w:p>
        </w:tc>
        <w:tc>
          <w:tcPr>
            <w:tcW w:w="0" w:type="auto"/>
            <w:vAlign w:val="center"/>
            <w:hideMark/>
          </w:tcPr>
          <w:p w14:paraId="13DC93F3" w14:textId="77777777" w:rsidR="001959F5" w:rsidRPr="001959F5" w:rsidRDefault="001959F5" w:rsidP="001959F5">
            <w:r w:rsidRPr="001959F5">
              <w:t>2,5</w:t>
            </w:r>
          </w:p>
        </w:tc>
        <w:tc>
          <w:tcPr>
            <w:tcW w:w="0" w:type="auto"/>
            <w:vAlign w:val="center"/>
            <w:hideMark/>
          </w:tcPr>
          <w:p w14:paraId="10249205" w14:textId="77777777" w:rsidR="001959F5" w:rsidRPr="001959F5" w:rsidRDefault="001959F5" w:rsidP="001959F5">
            <w:r w:rsidRPr="001959F5">
              <w:t>2,0</w:t>
            </w:r>
          </w:p>
        </w:tc>
      </w:tr>
      <w:tr w:rsidR="001959F5" w:rsidRPr="001959F5" w14:paraId="6B8ADA1E" w14:textId="77777777" w:rsidTr="00195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17C0F" w14:textId="77777777" w:rsidR="001959F5" w:rsidRPr="001959F5" w:rsidRDefault="001959F5" w:rsidP="001959F5">
            <w:r w:rsidRPr="001959F5">
              <w:t>3</w:t>
            </w:r>
          </w:p>
        </w:tc>
        <w:tc>
          <w:tcPr>
            <w:tcW w:w="0" w:type="auto"/>
            <w:vAlign w:val="center"/>
            <w:hideMark/>
          </w:tcPr>
          <w:p w14:paraId="6D710F42" w14:textId="77777777" w:rsidR="001959F5" w:rsidRPr="001959F5" w:rsidRDefault="001959F5" w:rsidP="001959F5">
            <w:r w:rsidRPr="001959F5">
              <w:t>2,0</w:t>
            </w:r>
          </w:p>
        </w:tc>
        <w:tc>
          <w:tcPr>
            <w:tcW w:w="0" w:type="auto"/>
            <w:vAlign w:val="center"/>
            <w:hideMark/>
          </w:tcPr>
          <w:p w14:paraId="25633F94" w14:textId="77777777" w:rsidR="001959F5" w:rsidRPr="001959F5" w:rsidRDefault="001959F5" w:rsidP="001959F5">
            <w:r w:rsidRPr="001959F5">
              <w:t>2,5</w:t>
            </w:r>
          </w:p>
        </w:tc>
      </w:tr>
    </w:tbl>
    <w:p w14:paraId="48DEAA6F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3. Wpływ na konkurencyjność gospodarki</w:t>
      </w:r>
    </w:p>
    <w:p w14:paraId="213D2FC7" w14:textId="77777777" w:rsidR="001959F5" w:rsidRPr="001959F5" w:rsidRDefault="001959F5" w:rsidP="001959F5">
      <w:r w:rsidRPr="001959F5">
        <w:t>Pozytywny - lepsza transparentność zmniejsza ryzyko korupcji i zwiększa zaufanie inwestorów.</w:t>
      </w:r>
    </w:p>
    <w:p w14:paraId="435EBBC3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4. Wpływ na sytuację i rozwój regionalny</w:t>
      </w:r>
    </w:p>
    <w:p w14:paraId="2455F2D8" w14:textId="77777777" w:rsidR="001959F5" w:rsidRPr="001959F5" w:rsidRDefault="001959F5" w:rsidP="001959F5">
      <w:r w:rsidRPr="001959F5">
        <w:t>Neutralny - jednolite zasady dla wszystkich regionów.</w:t>
      </w:r>
    </w:p>
    <w:p w14:paraId="10521B7E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5. Wpływ na rynek pracy</w:t>
      </w:r>
    </w:p>
    <w:p w14:paraId="38F56E24" w14:textId="77777777" w:rsidR="001959F5" w:rsidRPr="001959F5" w:rsidRDefault="001959F5" w:rsidP="001959F5">
      <w:r w:rsidRPr="001959F5">
        <w:t>Możliwe utworzenie ok. 500 nowych miejsc pracy w jednostkach odpowiedzialnych za udostępnianie informacji.</w:t>
      </w:r>
    </w:p>
    <w:p w14:paraId="3A8F2BDA" w14:textId="77777777" w:rsidR="001959F5" w:rsidRPr="001959F5" w:rsidRDefault="00000000" w:rsidP="001959F5">
      <w:r>
        <w:pict w14:anchorId="43522F29">
          <v:rect id="_x0000_i1028" style="width:0;height:1.5pt" o:hralign="center" o:hrstd="t" o:hr="t" fillcolor="#a0a0a0" stroked="f"/>
        </w:pict>
      </w:r>
    </w:p>
    <w:p w14:paraId="21921CB2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RAPORT Z KONSULTACJI</w:t>
      </w:r>
    </w:p>
    <w:p w14:paraId="7D638B9D" w14:textId="77777777" w:rsidR="001959F5" w:rsidRPr="001959F5" w:rsidRDefault="001959F5" w:rsidP="001959F5">
      <w:r w:rsidRPr="001959F5">
        <w:t>(do uzupełnienia po przeprowadzeniu konsultacji)</w:t>
      </w:r>
    </w:p>
    <w:p w14:paraId="4985631E" w14:textId="77777777" w:rsidR="001959F5" w:rsidRDefault="001959F5"/>
    <w:p w14:paraId="1BAB6A9D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Struktura formalna:</w:t>
      </w:r>
    </w:p>
    <w:p w14:paraId="38A61242" w14:textId="77777777" w:rsidR="001959F5" w:rsidRDefault="001959F5" w:rsidP="001959F5">
      <w:r>
        <w:t>Właściwa formuła wprowadzająca</w:t>
      </w:r>
    </w:p>
    <w:p w14:paraId="561738AE" w14:textId="77777777" w:rsidR="001959F5" w:rsidRDefault="001959F5" w:rsidP="001959F5">
      <w:r>
        <w:t>Jednostki redakcyjne prawidłowo numerowane</w:t>
      </w:r>
    </w:p>
    <w:p w14:paraId="53E648B8" w14:textId="77777777" w:rsidR="001959F5" w:rsidRDefault="001959F5" w:rsidP="001959F5">
      <w:r>
        <w:t>Przepisy przejściowe i końcowe</w:t>
      </w:r>
    </w:p>
    <w:p w14:paraId="4480AF0F" w14:textId="77777777" w:rsidR="001959F5" w:rsidRDefault="001959F5" w:rsidP="001959F5">
      <w:r>
        <w:t>Pełne uzasadnienie z OSR</w:t>
      </w:r>
    </w:p>
    <w:p w14:paraId="17C8A1BA" w14:textId="77777777" w:rsidR="001959F5" w:rsidRDefault="001959F5" w:rsidP="001959F5"/>
    <w:p w14:paraId="06F116CB" w14:textId="77777777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lastRenderedPageBreak/>
        <w:t>Kluczowe zmiany merytoryczne:</w:t>
      </w:r>
    </w:p>
    <w:p w14:paraId="6A042264" w14:textId="77777777" w:rsidR="001959F5" w:rsidRDefault="001959F5" w:rsidP="001959F5"/>
    <w:p w14:paraId="3BA83C75" w14:textId="77777777" w:rsidR="001959F5" w:rsidRPr="001959F5" w:rsidRDefault="001959F5" w:rsidP="001959F5">
      <w:r w:rsidRPr="001959F5">
        <w:t>Terminy: 7 dni roboczych (zamiast 14), max 30 dni (zamiast 2 miesięcy)</w:t>
      </w:r>
    </w:p>
    <w:p w14:paraId="40241E15" w14:textId="77777777" w:rsidR="001959F5" w:rsidRPr="001959F5" w:rsidRDefault="001959F5" w:rsidP="001959F5">
      <w:r w:rsidRPr="001959F5">
        <w:t>Rekompensaty: 100 zł/dzień zwłoki, utrata prawa do opłat</w:t>
      </w:r>
    </w:p>
    <w:p w14:paraId="44A2F3B4" w14:textId="77777777" w:rsidR="001959F5" w:rsidRPr="001959F5" w:rsidRDefault="001959F5" w:rsidP="001959F5">
      <w:r w:rsidRPr="001959F5">
        <w:t>Odpowiedzi merytoryczne: wymóg odniesienia do każdego elementu wniosku</w:t>
      </w:r>
    </w:p>
    <w:p w14:paraId="3A6C25B2" w14:textId="77777777" w:rsidR="001959F5" w:rsidRPr="001959F5" w:rsidRDefault="001959F5" w:rsidP="001959F5">
      <w:r w:rsidRPr="001959F5">
        <w:t>Kary: 1000-30 000 zł w trybie wykroczeniowym (szybsze)</w:t>
      </w:r>
    </w:p>
    <w:p w14:paraId="61EEE751" w14:textId="77777777" w:rsidR="001959F5" w:rsidRPr="001959F5" w:rsidRDefault="001959F5" w:rsidP="001959F5">
      <w:r w:rsidRPr="001959F5">
        <w:t>Transparentność: publiczne rejestry i sprawozdania kwartalne</w:t>
      </w:r>
    </w:p>
    <w:p w14:paraId="252CFD79" w14:textId="77777777" w:rsidR="001959F5" w:rsidRPr="001959F5" w:rsidRDefault="001959F5" w:rsidP="001959F5">
      <w:r w:rsidRPr="001959F5">
        <w:t>Szkolenia obowiązkowe: dla podmiotów łamiących przepisy</w:t>
      </w:r>
    </w:p>
    <w:p w14:paraId="2436A020" w14:textId="77777777" w:rsidR="001959F5" w:rsidRDefault="001959F5" w:rsidP="001959F5">
      <w:pPr>
        <w:rPr>
          <w:b/>
          <w:bCs/>
        </w:rPr>
      </w:pPr>
    </w:p>
    <w:p w14:paraId="34242D53" w14:textId="1F2D3428" w:rsidR="001959F5" w:rsidRPr="001959F5" w:rsidRDefault="001959F5" w:rsidP="001959F5">
      <w:pPr>
        <w:rPr>
          <w:b/>
          <w:bCs/>
        </w:rPr>
      </w:pPr>
      <w:r w:rsidRPr="001959F5">
        <w:rPr>
          <w:b/>
          <w:bCs/>
        </w:rPr>
        <w:t>Zalety rozwiązania bez nowych bytów:</w:t>
      </w:r>
    </w:p>
    <w:p w14:paraId="69BF5FA3" w14:textId="77777777" w:rsidR="001959F5" w:rsidRDefault="001959F5" w:rsidP="001959F5">
      <w:r>
        <w:t>Wykorzystuje istniejące struktury (sądy, tryb wykroczeniowy)</w:t>
      </w:r>
    </w:p>
    <w:p w14:paraId="6DC4E2A1" w14:textId="77777777" w:rsidR="001959F5" w:rsidRDefault="001959F5" w:rsidP="001959F5">
      <w:r>
        <w:t>Automatyczne mechanizmy (rekompensaty) zamiast nowego urzędu</w:t>
      </w:r>
    </w:p>
    <w:p w14:paraId="0533CA60" w14:textId="35372257" w:rsidR="001959F5" w:rsidRDefault="001959F5" w:rsidP="001959F5">
      <w:r>
        <w:t>Kontrola społeczna przez publikację danych</w:t>
      </w:r>
    </w:p>
    <w:sectPr w:rsidR="0019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241"/>
    <w:multiLevelType w:val="multilevel"/>
    <w:tmpl w:val="B4BE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B64A5"/>
    <w:multiLevelType w:val="multilevel"/>
    <w:tmpl w:val="BDC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63258"/>
    <w:multiLevelType w:val="multilevel"/>
    <w:tmpl w:val="357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47DE"/>
    <w:multiLevelType w:val="multilevel"/>
    <w:tmpl w:val="C6B2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F4064"/>
    <w:multiLevelType w:val="multilevel"/>
    <w:tmpl w:val="1F64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F34B3"/>
    <w:multiLevelType w:val="multilevel"/>
    <w:tmpl w:val="C99E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93D59"/>
    <w:multiLevelType w:val="multilevel"/>
    <w:tmpl w:val="6E8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40AE9"/>
    <w:multiLevelType w:val="multilevel"/>
    <w:tmpl w:val="5628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ABE"/>
    <w:multiLevelType w:val="multilevel"/>
    <w:tmpl w:val="871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608BC"/>
    <w:multiLevelType w:val="multilevel"/>
    <w:tmpl w:val="836C2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E007CF"/>
    <w:multiLevelType w:val="multilevel"/>
    <w:tmpl w:val="5BF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33360"/>
    <w:multiLevelType w:val="multilevel"/>
    <w:tmpl w:val="5D3E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F5F4D"/>
    <w:multiLevelType w:val="multilevel"/>
    <w:tmpl w:val="942E5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10AC4"/>
    <w:multiLevelType w:val="multilevel"/>
    <w:tmpl w:val="552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86717"/>
    <w:multiLevelType w:val="multilevel"/>
    <w:tmpl w:val="5D3C3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A569D"/>
    <w:multiLevelType w:val="multilevel"/>
    <w:tmpl w:val="350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86AB0"/>
    <w:multiLevelType w:val="multilevel"/>
    <w:tmpl w:val="47584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116F4"/>
    <w:multiLevelType w:val="multilevel"/>
    <w:tmpl w:val="90BC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D3590"/>
    <w:multiLevelType w:val="multilevel"/>
    <w:tmpl w:val="41CE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3D0FF1"/>
    <w:multiLevelType w:val="multilevel"/>
    <w:tmpl w:val="8CB2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77A73"/>
    <w:multiLevelType w:val="multilevel"/>
    <w:tmpl w:val="CCC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465DC"/>
    <w:multiLevelType w:val="multilevel"/>
    <w:tmpl w:val="02FC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F1246"/>
    <w:multiLevelType w:val="multilevel"/>
    <w:tmpl w:val="89A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965907">
    <w:abstractNumId w:val="16"/>
  </w:num>
  <w:num w:numId="2" w16cid:durableId="642781321">
    <w:abstractNumId w:val="12"/>
  </w:num>
  <w:num w:numId="3" w16cid:durableId="1005866525">
    <w:abstractNumId w:val="9"/>
  </w:num>
  <w:num w:numId="4" w16cid:durableId="1882668945">
    <w:abstractNumId w:val="18"/>
  </w:num>
  <w:num w:numId="5" w16cid:durableId="248857730">
    <w:abstractNumId w:val="14"/>
  </w:num>
  <w:num w:numId="6" w16cid:durableId="1482694268">
    <w:abstractNumId w:val="19"/>
  </w:num>
  <w:num w:numId="7" w16cid:durableId="327707451">
    <w:abstractNumId w:val="4"/>
  </w:num>
  <w:num w:numId="8" w16cid:durableId="1488011161">
    <w:abstractNumId w:val="1"/>
  </w:num>
  <w:num w:numId="9" w16cid:durableId="1605728324">
    <w:abstractNumId w:val="7"/>
  </w:num>
  <w:num w:numId="10" w16cid:durableId="1104887250">
    <w:abstractNumId w:val="5"/>
  </w:num>
  <w:num w:numId="11" w16cid:durableId="322200962">
    <w:abstractNumId w:val="20"/>
  </w:num>
  <w:num w:numId="12" w16cid:durableId="1273172434">
    <w:abstractNumId w:val="0"/>
  </w:num>
  <w:num w:numId="13" w16cid:durableId="2077701888">
    <w:abstractNumId w:val="15"/>
  </w:num>
  <w:num w:numId="14" w16cid:durableId="1520856424">
    <w:abstractNumId w:val="8"/>
  </w:num>
  <w:num w:numId="15" w16cid:durableId="1931235124">
    <w:abstractNumId w:val="2"/>
  </w:num>
  <w:num w:numId="16" w16cid:durableId="1069770202">
    <w:abstractNumId w:val="13"/>
  </w:num>
  <w:num w:numId="17" w16cid:durableId="1283345724">
    <w:abstractNumId w:val="3"/>
  </w:num>
  <w:num w:numId="18" w16cid:durableId="1693458459">
    <w:abstractNumId w:val="10"/>
  </w:num>
  <w:num w:numId="19" w16cid:durableId="922301506">
    <w:abstractNumId w:val="17"/>
  </w:num>
  <w:num w:numId="20" w16cid:durableId="2055496151">
    <w:abstractNumId w:val="21"/>
  </w:num>
  <w:num w:numId="21" w16cid:durableId="372658247">
    <w:abstractNumId w:val="11"/>
  </w:num>
  <w:num w:numId="22" w16cid:durableId="269317615">
    <w:abstractNumId w:val="22"/>
  </w:num>
  <w:num w:numId="23" w16cid:durableId="1630435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F5"/>
    <w:rsid w:val="000A24EC"/>
    <w:rsid w:val="001959F5"/>
    <w:rsid w:val="005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95FB"/>
  <w15:chartTrackingRefBased/>
  <w15:docId w15:val="{E88D7655-2BB0-4410-B585-C783F368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9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9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9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9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9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9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9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9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9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9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1564</Words>
  <Characters>9387</Characters>
  <Application>Microsoft Office Word</Application>
  <DocSecurity>0</DocSecurity>
  <Lines>78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2025-09-25T11:51:00Z</dcterms:created>
  <dcterms:modified xsi:type="dcterms:W3CDTF">2025-09-25T11:54:00Z</dcterms:modified>
</cp:coreProperties>
</file>