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153" w14:textId="740F0F52" w:rsidR="008C08EF" w:rsidRDefault="008C08EF" w:rsidP="008C08EF">
      <w:pPr>
        <w:jc w:val="right"/>
        <w:rPr>
          <w:b/>
          <w:bCs/>
        </w:rPr>
      </w:pPr>
      <w:r>
        <w:rPr>
          <w:b/>
          <w:bCs/>
        </w:rPr>
        <w:t xml:space="preserve">Warszawa 24.09.2025 r. </w:t>
      </w:r>
    </w:p>
    <w:p w14:paraId="666728D9" w14:textId="77777777" w:rsidR="008C08EF" w:rsidRDefault="008C08EF" w:rsidP="008C08EF">
      <w:pPr>
        <w:rPr>
          <w:b/>
          <w:bCs/>
        </w:rPr>
      </w:pPr>
    </w:p>
    <w:p w14:paraId="7CE5160A" w14:textId="7E8C4605" w:rsidR="008C08EF" w:rsidRDefault="008C08EF" w:rsidP="008C08EF">
      <w:pPr>
        <w:rPr>
          <w:b/>
          <w:bCs/>
        </w:rPr>
      </w:pPr>
      <w:r>
        <w:rPr>
          <w:b/>
          <w:bCs/>
        </w:rPr>
        <w:t>Piotr Sterkowski</w:t>
      </w:r>
    </w:p>
    <w:p w14:paraId="5516761B" w14:textId="18BA4331" w:rsidR="008C08EF" w:rsidRDefault="008C08EF" w:rsidP="008C08EF">
      <w:pPr>
        <w:rPr>
          <w:b/>
          <w:bCs/>
        </w:rPr>
      </w:pPr>
      <w:r>
        <w:rPr>
          <w:b/>
          <w:bCs/>
        </w:rPr>
        <w:t>Ul. Kłodzka 25,</w:t>
      </w:r>
    </w:p>
    <w:p w14:paraId="55891188" w14:textId="7C6B1CC2" w:rsidR="008C08EF" w:rsidRDefault="008C08EF" w:rsidP="008C08EF">
      <w:pPr>
        <w:rPr>
          <w:b/>
          <w:bCs/>
        </w:rPr>
      </w:pPr>
      <w:r>
        <w:rPr>
          <w:b/>
          <w:bCs/>
        </w:rPr>
        <w:t>04-913 Warszawa</w:t>
      </w:r>
    </w:p>
    <w:p w14:paraId="5F61F0A5" w14:textId="173351BA" w:rsidR="008C08EF" w:rsidRDefault="008C08EF" w:rsidP="008C08EF">
      <w:pPr>
        <w:rPr>
          <w:b/>
          <w:bCs/>
        </w:rPr>
      </w:pPr>
      <w:hyperlink r:id="rId5" w:history="1">
        <w:r w:rsidRPr="0021398E">
          <w:rPr>
            <w:rStyle w:val="Hipercze"/>
            <w:b/>
            <w:bCs/>
          </w:rPr>
          <w:t>Piotr.sterkowski@gmail.com</w:t>
        </w:r>
      </w:hyperlink>
    </w:p>
    <w:p w14:paraId="663E9E40" w14:textId="77777777" w:rsidR="008C08EF" w:rsidRDefault="008C08EF" w:rsidP="008C08EF">
      <w:pPr>
        <w:rPr>
          <w:b/>
          <w:bCs/>
        </w:rPr>
      </w:pPr>
    </w:p>
    <w:p w14:paraId="2E7674DE" w14:textId="150E070F" w:rsidR="008C08EF" w:rsidRDefault="008C08EF" w:rsidP="008C08EF">
      <w:pPr>
        <w:jc w:val="right"/>
        <w:rPr>
          <w:b/>
          <w:bCs/>
        </w:rPr>
      </w:pPr>
      <w:r>
        <w:rPr>
          <w:b/>
          <w:bCs/>
        </w:rPr>
        <w:t>Ministerstwo Cyfryzacji</w:t>
      </w:r>
    </w:p>
    <w:p w14:paraId="4767945A" w14:textId="1AA19B33" w:rsidR="008C08EF" w:rsidRDefault="008C08EF" w:rsidP="008C08EF">
      <w:pPr>
        <w:jc w:val="right"/>
        <w:rPr>
          <w:b/>
          <w:bCs/>
        </w:rPr>
      </w:pPr>
      <w:r>
        <w:rPr>
          <w:b/>
          <w:bCs/>
        </w:rPr>
        <w:t>Ul. Królewska 27</w:t>
      </w:r>
    </w:p>
    <w:p w14:paraId="576799C7" w14:textId="3F4AEFC3" w:rsidR="008C08EF" w:rsidRDefault="008C08EF" w:rsidP="008C08EF">
      <w:pPr>
        <w:jc w:val="right"/>
        <w:rPr>
          <w:b/>
          <w:bCs/>
        </w:rPr>
      </w:pPr>
      <w:r>
        <w:rPr>
          <w:b/>
          <w:bCs/>
        </w:rPr>
        <w:t>00-060 Warszawa</w:t>
      </w:r>
    </w:p>
    <w:p w14:paraId="48B9BCD5" w14:textId="77777777" w:rsidR="008C08EF" w:rsidRDefault="008C08EF" w:rsidP="008C08EF">
      <w:pPr>
        <w:rPr>
          <w:b/>
          <w:bCs/>
        </w:rPr>
      </w:pPr>
    </w:p>
    <w:p w14:paraId="3283DFC3" w14:textId="77777777" w:rsidR="008C08EF" w:rsidRDefault="008C08EF" w:rsidP="008C08EF">
      <w:pPr>
        <w:rPr>
          <w:b/>
          <w:bCs/>
        </w:rPr>
      </w:pPr>
    </w:p>
    <w:p w14:paraId="4688A90E" w14:textId="7B8B8540" w:rsidR="008C08EF" w:rsidRPr="008C08EF" w:rsidRDefault="008C08EF" w:rsidP="008C08EF">
      <w:pPr>
        <w:jc w:val="center"/>
        <w:rPr>
          <w:b/>
          <w:bCs/>
        </w:rPr>
      </w:pPr>
      <w:r w:rsidRPr="008C08EF">
        <w:rPr>
          <w:b/>
          <w:bCs/>
        </w:rPr>
        <w:t>Wniosek o udostępnienie informacji publicznej</w:t>
      </w:r>
    </w:p>
    <w:p w14:paraId="03CA6B7C" w14:textId="77777777" w:rsidR="008C08EF" w:rsidRPr="008C08EF" w:rsidRDefault="008C08EF" w:rsidP="008C08EF">
      <w:r w:rsidRPr="008C08EF">
        <w:t xml:space="preserve">Na podstawie art. 2 ustawy z dnia 6 września 2001 r. o dostępie do informacji publicznej (Dz. U. z 2022 r. poz. 902 ze zm.), zwracam się z wnioskiem o udostępnienie informacji publicznej w zakresie działań Ministerstwa Cyfryzacji związanych z projektem ustawy z dnia 18 września 2025 r. o zmianie ustawy o świadczeniu usług drogą elektroniczną oraz niektórych innych ustaw, wdrażającym przepisy rozporządzenia Parlamentu Europejskiego i Rady (UE) 2022/2065 (Digital Services </w:t>
      </w:r>
      <w:proofErr w:type="spellStart"/>
      <w:r w:rsidRPr="008C08EF">
        <w:t>Act</w:t>
      </w:r>
      <w:proofErr w:type="spellEnd"/>
      <w:r w:rsidRPr="008C08EF">
        <w:t>).</w:t>
      </w:r>
    </w:p>
    <w:p w14:paraId="078A2F05" w14:textId="77777777" w:rsidR="008C08EF" w:rsidRPr="008C08EF" w:rsidRDefault="008C08EF" w:rsidP="008C08EF">
      <w:pPr>
        <w:rPr>
          <w:b/>
          <w:bCs/>
        </w:rPr>
      </w:pPr>
      <w:r w:rsidRPr="008C08EF">
        <w:rPr>
          <w:b/>
          <w:bCs/>
        </w:rPr>
        <w:t>W szczególności wnoszę o udostępnienie informacji:</w:t>
      </w:r>
    </w:p>
    <w:p w14:paraId="5B3A846B" w14:textId="77777777" w:rsidR="008C08EF" w:rsidRPr="008C08EF" w:rsidRDefault="008C08EF" w:rsidP="008C08EF">
      <w:pPr>
        <w:numPr>
          <w:ilvl w:val="0"/>
          <w:numId w:val="1"/>
        </w:numPr>
      </w:pPr>
      <w:r w:rsidRPr="008C08EF">
        <w:t>Czy Ministerstwo Cyfryzacji dokonało oceny zgodności projektu ustawy z Konstytucją Rzeczypospolitej Polskiej?</w:t>
      </w:r>
    </w:p>
    <w:p w14:paraId="6EF6E026" w14:textId="77777777" w:rsidR="008C08EF" w:rsidRPr="008C08EF" w:rsidRDefault="008C08EF" w:rsidP="008C08EF">
      <w:pPr>
        <w:numPr>
          <w:ilvl w:val="0"/>
          <w:numId w:val="1"/>
        </w:numPr>
      </w:pPr>
      <w:r w:rsidRPr="008C08EF">
        <w:t>Jakie mechanizmy zabezpieczające przed nadużyciami i naruszeniami praw obywatelskich zostały przewidziane w projekcie lub dokumentach towarzyszących?</w:t>
      </w:r>
    </w:p>
    <w:p w14:paraId="1002057F" w14:textId="77777777" w:rsidR="008C08EF" w:rsidRDefault="008C08EF" w:rsidP="008C08EF">
      <w:pPr>
        <w:numPr>
          <w:ilvl w:val="0"/>
          <w:numId w:val="1"/>
        </w:numPr>
      </w:pPr>
      <w:r w:rsidRPr="008C08EF">
        <w:t>Czy Ministerstwo podziela opinię, że przepisy dotyczące blokowania treści i nadawania rygoru natychmiastowej wykonalności decyzjom administracyjnym mogą w praktyce prowadzić do wprowadzenia niedopuszczalnej cenzury prewencyjnej?</w:t>
      </w:r>
    </w:p>
    <w:p w14:paraId="0A0B7C6D" w14:textId="77777777" w:rsidR="008C08EF" w:rsidRDefault="008C08EF" w:rsidP="008C08EF"/>
    <w:p w14:paraId="3DC83CB7" w14:textId="77777777" w:rsidR="008C08EF" w:rsidRPr="008C08EF" w:rsidRDefault="008C08EF" w:rsidP="008C08EF"/>
    <w:p w14:paraId="38999DFF" w14:textId="0A490C01" w:rsidR="008C08EF" w:rsidRPr="008C08EF" w:rsidRDefault="008C08EF" w:rsidP="008C08EF">
      <w:pPr>
        <w:jc w:val="center"/>
        <w:rPr>
          <w:b/>
          <w:bCs/>
        </w:rPr>
      </w:pPr>
      <w:r w:rsidRPr="008C08EF">
        <w:rPr>
          <w:b/>
          <w:bCs/>
        </w:rPr>
        <w:lastRenderedPageBreak/>
        <w:t>Uzasadnienie</w:t>
      </w:r>
    </w:p>
    <w:p w14:paraId="784F16B3" w14:textId="77777777" w:rsidR="008C08EF" w:rsidRPr="008C08EF" w:rsidRDefault="008C08EF" w:rsidP="008C08EF">
      <w:r w:rsidRPr="008C08EF">
        <w:t>Projektowane przepisy budzą wątpliwości co do ich zgodności z Konstytucją RP, w szczególności w następujących aspektach:</w:t>
      </w:r>
    </w:p>
    <w:p w14:paraId="0D26D3C8" w14:textId="77777777" w:rsidR="008C08EF" w:rsidRPr="008C08EF" w:rsidRDefault="008C08EF" w:rsidP="008C08EF">
      <w:pPr>
        <w:numPr>
          <w:ilvl w:val="0"/>
          <w:numId w:val="2"/>
        </w:numPr>
      </w:pPr>
      <w:r w:rsidRPr="008C08EF">
        <w:rPr>
          <w:b/>
          <w:bCs/>
        </w:rPr>
        <w:t>Art. 54 ust. 2 Konstytucji RP – zakaz cenzury prewencyjnej</w:t>
      </w:r>
      <w:r w:rsidRPr="008C08EF">
        <w:t>: przewidziana w art. 11m projektu możliwość nadania rygoru natychmiastowej wykonalności decyzjom administracyjnym nakazującym blokadę treści oznacza usunięcie treści przed rozpoznaniem sprawy przez sąd. Może to prowadzić do niedopuszczalnej formy cenzury prewencyjnej.</w:t>
      </w:r>
    </w:p>
    <w:p w14:paraId="259751C9" w14:textId="77777777" w:rsidR="008C08EF" w:rsidRPr="008C08EF" w:rsidRDefault="008C08EF" w:rsidP="008C08EF">
      <w:pPr>
        <w:numPr>
          <w:ilvl w:val="0"/>
          <w:numId w:val="2"/>
        </w:numPr>
      </w:pPr>
      <w:r w:rsidRPr="008C08EF">
        <w:rPr>
          <w:b/>
          <w:bCs/>
        </w:rPr>
        <w:t>Art. 45 i art. 78 Konstytucji RP – prawo do sądu i dwuinstancyjność postępowania</w:t>
      </w:r>
      <w:r w:rsidRPr="008C08EF">
        <w:t>: w art. 11p projektu ograniczono możliwość odwołania od decyzji organów administracyjnych do jednego środka – sprzeciwu do sądu, co budzi wątpliwości wobec konstytucyjnej gwarancji prawa do sądu i zasady dwuinstancyjności.</w:t>
      </w:r>
    </w:p>
    <w:p w14:paraId="3929535A" w14:textId="77777777" w:rsidR="008C08EF" w:rsidRPr="008C08EF" w:rsidRDefault="008C08EF" w:rsidP="008C08EF">
      <w:pPr>
        <w:numPr>
          <w:ilvl w:val="0"/>
          <w:numId w:val="2"/>
        </w:numPr>
      </w:pPr>
      <w:r w:rsidRPr="008C08EF">
        <w:rPr>
          <w:b/>
          <w:bCs/>
        </w:rPr>
        <w:t>Art. 175 i art. 42 ust. 3 Konstytucji RP – wyłączność sądów w zakresie wymiaru sprawiedliwości</w:t>
      </w:r>
      <w:r w:rsidRPr="008C08EF">
        <w:t>: uprawnienie organów administracyjnych (np. Prezesa UKE, KRRiT) do oceny, czy treści mogą „wyczerpywać znamiona czynu zabronionego” (art. 11a ust. 1 projektu), może być traktowane jako ingerencja w konstytucyjną domenę sądów.</w:t>
      </w:r>
    </w:p>
    <w:p w14:paraId="016F7A8B" w14:textId="77777777" w:rsidR="008C08EF" w:rsidRPr="008C08EF" w:rsidRDefault="008C08EF" w:rsidP="008C08EF">
      <w:pPr>
        <w:numPr>
          <w:ilvl w:val="0"/>
          <w:numId w:val="2"/>
        </w:numPr>
      </w:pPr>
      <w:r w:rsidRPr="008C08EF">
        <w:rPr>
          <w:b/>
          <w:bCs/>
        </w:rPr>
        <w:t>Art. 31 ust. 3 Konstytucji RP – zasada proporcjonalności ograniczeń praw i wolności</w:t>
      </w:r>
      <w:r w:rsidRPr="008C08EF">
        <w:t>: szerokie uprawnienia do wnioskowania o blokadę treści (m.in. przez Policję, KAS, „zaufane podmioty sygnalizujące”) mogą prowadzić do nadmiernej ingerencji w wolność słowa i działalność gospodarczą.</w:t>
      </w:r>
    </w:p>
    <w:p w14:paraId="2CBCC79E" w14:textId="77777777" w:rsidR="008C08EF" w:rsidRPr="008C08EF" w:rsidRDefault="008C08EF" w:rsidP="008C08EF">
      <w:pPr>
        <w:numPr>
          <w:ilvl w:val="0"/>
          <w:numId w:val="2"/>
        </w:numPr>
      </w:pPr>
      <w:r w:rsidRPr="008C08EF">
        <w:rPr>
          <w:b/>
          <w:bCs/>
        </w:rPr>
        <w:t>Art. 2 i art. 64 Konstytucji RP – zasada demokratycznego państwa prawa oraz ochrona praw majątkowych</w:t>
      </w:r>
      <w:r w:rsidRPr="008C08EF">
        <w:t>: możliwość wpisywania domen na listę ostrzeżeń (art. 11n projektu) z pominięciem trybu z ustawy o zwalczaniu nadużyć w komunikacji elektronicznej może wywoływać poważne konsekwencje gospodarcze bez odpowiednich gwarancji procesowych.</w:t>
      </w:r>
    </w:p>
    <w:p w14:paraId="5C7E8E50" w14:textId="2F5E35D7" w:rsidR="008C08EF" w:rsidRDefault="008C08EF">
      <w:r w:rsidRPr="008C08EF">
        <w:t>Wobec powyższego zwracam się z wnioskiem o udostępnienie informacji publicznej, które pozwolą ustalić, w jaki sposób Ministerstwo oceniło zgodność proponowanych rozwiązań z Konstytucją RP oraz jakie mechanizmy ochronne przewidziano.</w:t>
      </w:r>
    </w:p>
    <w:p w14:paraId="45D229E2" w14:textId="77777777" w:rsidR="008C08EF" w:rsidRDefault="008C08EF"/>
    <w:p w14:paraId="72F58DAE" w14:textId="3E7E678A" w:rsidR="008C08EF" w:rsidRDefault="008C08EF" w:rsidP="008C08EF">
      <w:pPr>
        <w:jc w:val="right"/>
      </w:pPr>
      <w:r>
        <w:t>Z uszanowaniem</w:t>
      </w:r>
    </w:p>
    <w:p w14:paraId="2CB6EC00" w14:textId="1EDEB416" w:rsidR="008C08EF" w:rsidRDefault="008C08EF" w:rsidP="008C08EF">
      <w:pPr>
        <w:jc w:val="right"/>
      </w:pPr>
      <w:r>
        <w:t>Piotr Sterkowski</w:t>
      </w:r>
    </w:p>
    <w:sectPr w:rsidR="008C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D1E96"/>
    <w:multiLevelType w:val="multilevel"/>
    <w:tmpl w:val="47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44035"/>
    <w:multiLevelType w:val="multilevel"/>
    <w:tmpl w:val="DF0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88876">
    <w:abstractNumId w:val="0"/>
  </w:num>
  <w:num w:numId="2" w16cid:durableId="12131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EF"/>
    <w:rsid w:val="00337C08"/>
    <w:rsid w:val="008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B98"/>
  <w15:chartTrackingRefBased/>
  <w15:docId w15:val="{C237C326-B014-48BF-80AD-F791F64E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8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8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8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8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8E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08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sterko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2025-09-24T11:40:00Z</dcterms:created>
  <dcterms:modified xsi:type="dcterms:W3CDTF">2025-09-24T11:43:00Z</dcterms:modified>
</cp:coreProperties>
</file>